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https://www.autoritedelaconcurrence.fr/fr/decision-de-controle-des-concentrations/relative-la-prise-de-controle-exclusif-de-la-societe-vl</w:t>
      </w:r>
    </w:p>
    <w:p>
      <w:r>
        <w:t>Pages translated : 2</w:t>
      </w:r>
    </w:p>
    <w:p/>
    <w:p>
      <w:r>
        <w:rPr>
          <w:b/>
        </w:rPr>
        <w:t>[Pages 1–2]</w:t>
      </w:r>
    </w:p>
    <w:p>
      <w:r>
        <w:t xml:space="preserve">FRENCH REPUBLIC  </w:t>
        <w:br/>
        <w:t xml:space="preserve">Decision No. 13-DCC-36 of March 14, 2013  </w:t>
        <w:br/>
        <w:t xml:space="preserve">regarding the exclusive control acquisition of VL Holding by  </w:t>
        <w:br/>
        <w:t xml:space="preserve">Intermediate Capital Group PLC  </w:t>
        <w:br/>
        <w:t xml:space="preserve">The Competition Authority,  </w:t>
        <w:br/>
        <w:t xml:space="preserve">Having regard to the complete notification file submitted to the mergers department on February 20, 2013,  </w:t>
        <w:br/>
        <w:t xml:space="preserve">concerning the exclusive control acquisition of VL Holding by Intermediate  </w:t>
        <w:br/>
        <w:t xml:space="preserve">Capital Group PLC, formalized by a conciliation protocol concluded on February 8, 2013, between  </w:t>
        <w:br/>
        <w:t xml:space="preserve">VL Holding, VL Location, their lenders, and their shareholders, including  </w:t>
        <w:br/>
        <w:t xml:space="preserve">Intermediate Capital Group PLC;  </w:t>
        <w:br/>
        <w:t xml:space="preserve">Having regard to Book IV of the Commercial Code relating to the freedom of prices and competition, and  </w:t>
        <w:br/>
        <w:t xml:space="preserve">notably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VL Holding, the parent company of the Via Location group active in the markets of vehicle rental and fleet management, by Intermediate Capital Group PLC, active in the private equity sector. It constitutes a concentration operation within the meaning of Article L. 430-1 of the Commercial Code.  </w:t>
        <w:br/>
        <w:t xml:space="preserve">2. Given the turnover achieved by the concerned companies, the operation does not have a community dimension. However,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3. In light of the elements of the file, the operation is not likely to harm competition in the relevant markets.</w:t>
      </w:r>
    </w:p>
    <w:p>
      <w:r>
        <w:t xml:space="preserve">DECIDES  </w:t>
        <w:br/>
        <w:t xml:space="preserve">Sole Article: The operation notified under number 13-036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