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https://www.autoritedelaconcurrence.fr/fr/decision-de-controle-des-concentrations/relative-la-prise-de-controle-exclusif-de-la-societe-waat</w:t>
      </w:r>
    </w:p>
    <w:p>
      <w:r>
        <w:t>Pages translated : 2</w:t>
      </w:r>
    </w:p>
    <w:p/>
    <w:p>
      <w:r>
        <w:rPr>
          <w:b/>
        </w:rPr>
        <w:t>[Pages 1–2]</w:t>
      </w:r>
    </w:p>
    <w:p>
      <w:r>
        <w:t xml:space="preserve">FRENCH REPUBLIC  </w:t>
        <w:br/>
        <w:t xml:space="preserve">Decision No. 25-DCC-193 of August 21, 2025  </w:t>
        <w:br/>
        <w:t xml:space="preserve">regarding the exclusive control acquisition of the company Waat by  </w:t>
        <w:br/>
        <w:t xml:space="preserve">Sustainable Growth Infrastructure Fund SCSp SICAV-RAIF  </w:t>
        <w:br/>
        <w:t xml:space="preserve">The Competition Authority,  </w:t>
        <w:br/>
        <w:t xml:space="preserve">Having regard to the complete notification file submitted to the mergers department on August 5, 2025,  </w:t>
        <w:br/>
        <w:t xml:space="preserve">concerning the exclusive control acquisition of the company Waat by Sustainable Growth Infrastructure  </w:t>
        <w:br/>
        <w:t xml:space="preserve">Fund SCSp SICAV-RAIF, formalized by an investment agreement signed on August 2, 2025;  </w:t>
        <w:br/>
        <w:t xml:space="preserve">Having regard to Book IV of the Commercial Code relating to the freedom of prices and competition, and  </w:t>
        <w:br/>
        <w:t xml:space="preserve">notably its Articles L. 430-1 to L. 430-7;  </w:t>
        <w:br/>
        <w:t xml:space="preserve">Having regard to the other documents in the file;  </w:t>
        <w:br/>
        <w:t xml:space="preserve">Adopts the following decision:  </w:t>
        <w:br/>
        <w:t xml:space="preserve">1. The notified operation consists of the indirect acquisition by Sustainable Growth Infrastructure  </w:t>
        <w:br/>
        <w:t xml:space="preserve">Fund SCSp SICAV-RAIF, through its general partner SGI GP (Lux) S.à.r.l., a subsidiary of DWS Group GmbH &amp; Co KGaA, of the exclusive control of the company Waat SAS, which is active in the sector of providing installation, maintenance, and supervision services for private charging stations for electric vehicles.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25-197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