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https://www.autoritedelaconcurrence.fr/fr/decision-de-controle-des-concentrations/relative-la-prise-de-controle-exclusif-de-la-societe-warner</w:t>
      </w:r>
    </w:p>
    <w:p>
      <w:r>
        <w:t>Pages translated : 8</w:t>
      </w:r>
    </w:p>
    <w:p/>
    <w:p>
      <w:r>
        <w:rPr>
          <w:b/>
        </w:rPr>
        <w:t>[Pages 1–3]</w:t>
      </w:r>
    </w:p>
    <w:p>
      <w:r>
        <w:t xml:space="preserve">FRENCH REPUBLIC  </w:t>
        <w:br/>
        <w:t xml:space="preserve">Decision No. 13-DCC-106 of August 6, 2013  </w:t>
        <w:br/>
        <w:t xml:space="preserve">regarding the exclusive control of the company  </w:t>
        <w:br/>
        <w:t xml:space="preserve">Warner Chilcott plc by the company Actavis, Inc.  </w:t>
        <w:br/>
        <w:t xml:space="preserve">The Competition Authority,  </w:t>
        <w:br/>
        <w:t xml:space="preserve">Having regard to the notification file submitted in full to the merger service on July 2, 2013,  </w:t>
        <w:br/>
        <w:t xml:space="preserve">regarding the exclusive control of the company Warner Chilcott plc by the company Actavis,  </w:t>
        <w:br/>
        <w:t xml:space="preserve">Inc., formalized by a contract dated May 19, 2013;  </w:t>
        <w:br/>
        <w:t xml:space="preserve">Having regard to Book IV of the Commercial Code relating to price freedom and competition, and  </w:t>
        <w:br/>
        <w:t xml:space="preserve">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Actavis, Inc (hereinafter "Actavis") is a company listed on the New York Stock Exchange that  </w:t>
        <w:br/>
        <w:t xml:space="preserve">is not controlled by any entity or individual. Actavis specializes in the development,  </w:t>
        <w:br/>
        <w:t xml:space="preserve">manufacturing, and distribution of generic drugs, branded drugs (originators), and biosimilars.  </w:t>
        <w:br/>
        <w:t xml:space="preserve">Its activities are organized around three poles: (i) Actavis Pharma, which develops,  </w:t>
        <w:br/>
        <w:t xml:space="preserve">manufactures, and markets generic pharmaceutical products; (ii) Actavis Specialty Brands,  </w:t>
        <w:br/>
        <w:t xml:space="preserve">which develops, manufactures, and markets more than 40 branded pharmaceutical products  </w:t>
        <w:br/>
        <w:t xml:space="preserve">mainly in the United States (primarily in urology and women's health) and develops  </w:t>
        <w:br/>
        <w:t xml:space="preserve">biosimilar products; and (iii) Anda Distribution, which primarily distributes generic products,  </w:t>
        <w:br/>
        <w:t xml:space="preserve">specific branded pharmaceutical products, vaccines, injectable products, and over-the-counter  </w:t>
        <w:br/>
        <w:t xml:space="preserve">medications in the United States. In France, Actavis is active through three subsidiaries,  </w:t>
        <w:br/>
        <w:t xml:space="preserve">Actavis France, Arrow Génériques, and Medis Pharma, in the development, manufacturing,  </w:t>
        <w:br/>
        <w:t xml:space="preserve">and distribution of a wide range of products, including generic medications for retail and  </w:t>
        <w:br/>
        <w:t xml:space="preserve">hospitals, over-the-counter medications, cosmetic products, and mature products, as well as  </w:t>
        <w:br/>
        <w:t>in managing marketing activities and providing support and registration services.</w:t>
      </w:r>
    </w:p>
    <w:p>
      <w:r>
        <w:t xml:space="preserve">2. The company Warner Chilcott plc (hereinafter "Warner Chilcott") is a company listed on the  </w:t>
        <w:br/>
        <w:t xml:space="preserve">Nasdaq Stock Exchange that is not controlled by any entity or individual. Warner Chilcott  </w:t>
        <w:br/>
        <w:t xml:space="preserve">specializes in the development, manufacturing, and promotion of pharmaceutical products and  </w:t>
        <w:br/>
        <w:t xml:space="preserve">primarily offers products in gastroenterology, women's health, dermatology, and urology. In  </w:t>
        <w:br/>
        <w:t xml:space="preserve">France, Warner Chilcott currently sells only the following two products: Actonel (risedronate  </w:t>
        <w:br/>
        <w:t xml:space="preserve">sodium) and Cacit (calcium carbonate). In 2012, Warner Chilcott ceased the sale of two  </w:t>
        <w:br/>
        <w:t xml:space="preserve">products in France: Previscan (Fluindione) and Intrinsa (testosterone patch). Until the end of  </w:t>
        <w:br/>
        <w:t xml:space="preserve">May 2013, Warner Chilcott also sold Didronel (etidronic acid) in France but has since ceased  </w:t>
        <w:br/>
        <w:t xml:space="preserve">its commercialization.  </w:t>
        <w:br/>
        <w:t xml:space="preserve">3. The notified operation consists of the acquisition, by a specially created company, "New  </w:t>
        <w:br/>
        <w:t xml:space="preserve">Actavis," of all the shares of Warner Chilcott in exchange for shares issued by New Actavis.  </w:t>
        <w:br/>
        <w:t xml:space="preserve">At the end of the operation, Actavis and Warner Chilcott will be integrated into the same  </w:t>
        <w:br/>
        <w:t xml:space="preserve">group, as 100% subsidiaries of the same company based in Ireland, which will be named  </w:t>
        <w:br/>
        <w:t xml:space="preserve">Actavis plc or a variant of this name. The current shareholders of Warner Chilcott are  </w:t>
        <w:br/>
        <w:t xml:space="preserve">expected to own approximately 23% of the new company, while the current shareholders of  </w:t>
        <w:br/>
        <w:t xml:space="preserve">Actavis will own the remaining 77%. The operation thus results in the exclusive control of  </w:t>
        <w:br/>
        <w:t xml:space="preserve">Warner Chilcott by Actavis, and constitutes a concentration within the meaning of Article L.  </w:t>
        <w:br/>
        <w:t xml:space="preserve">430-1 of the Commercial Code.  </w:t>
        <w:br/>
        <w:t xml:space="preserve">4. The companies concerned achieved a consolidated worldwide turnover excluding taxes of more  </w:t>
        <w:br/>
        <w:t xml:space="preserve">than 150 million euros during the fiscal year ending December 31, 2012 (Actavis: 4.604 billion  </w:t>
        <w:br/>
        <w:t xml:space="preserve">euros; Warner Chilcott: 1.978 billion euros). Each of these companies achieved, in France, a  </w:t>
        <w:br/>
        <w:t xml:space="preserve">turnover exceeding 50 million euros during the fiscal year ending December 31, 2012  </w:t>
        <w:br/>
        <w:t xml:space="preserve">(Actavis: […] euros; Warner Chilcott: […] euros). Given the turnover of the companies  </w:t>
        <w:br/>
        <w:t xml:space="preserve">concerned, the operation does not have a community dimension1. On the other hand, the  </w:t>
        <w:br/>
        <w:t xml:space="preserve">control thresholds mentioned in I of Article L. 430-2 of the Commercial Code are exceeded.  </w:t>
        <w:br/>
        <w:t xml:space="preserve">This operation is therefore subject to the provisions of Articles L. 430-3 and following of the  </w:t>
        <w:br/>
        <w:t xml:space="preserve">Commercial Code relating to economic concentration.  </w:t>
        <w:br/>
        <w:t xml:space="preserve">II. Delimitation of the relevant markets  </w:t>
        <w:br/>
        <w:t xml:space="preserve">A. PRODUCT MARKETS  </w:t>
        <w:br/>
        <w:t xml:space="preserve">5. According to national and European decision-making practice2, the markets for medicines can  </w:t>
        <w:br/>
        <w:t xml:space="preserve">be segmented according to their therapeutic class with reference to the "Anatomical Therapeutic  </w:t>
        <w:br/>
        <w:t xml:space="preserve">Chemical" classification (hereinafter "ATC") developed by the European Pharmaceutical  </w:t>
        <w:br/>
        <w:t xml:space="preserve">Marketing Research Association (hereinafter "EphMRA") and used by International Medical  </w:t>
        <w:br/>
        <w:t xml:space="preserve">Statistics (hereinafter "IMS"). This classification of medicines  </w:t>
        <w:br/>
        <w:t xml:space="preserve">1 The combined worldwide turnover of Actavis and Warner Chilcott in 2012 exceeds 5 billion euros but the turnover achieved by Warner  </w:t>
        <w:br/>
        <w:t xml:space="preserve">Chilcott within the European Union is less than 250 million euros. Furthermore, Actavis and Warner Chilcott do not achieve a combined  </w:t>
        <w:br/>
        <w:t xml:space="preserve">turnover exceeding 100 million euros in three or more Member States.  </w:t>
        <w:br/>
        <w:t xml:space="preserve">2 See in particular the decisions of the European Commission No. COMP/M.5295, Teva/Barr, December 19, 2008, No. COMP/M.5253,  </w:t>
        <w:br/>
        <w:t xml:space="preserve">Sanofi-Aventis/Zentiva, February 4, 2009, No. COMP/M.5555, Novartis/EBEWE, September 22, 2009, the decision of the Minister  </w:t>
        <w:br/>
        <w:t xml:space="preserve">C2006-142, of December 20, 2006, regarding the acquisition of 3M by Meda and the decision of the Competition Authority No.  </w:t>
        <w:br/>
        <w:t xml:space="preserve">10-DCC-191 of December 19, 2010, regarding the exclusive control of the Théramex group by the Teva group.  </w:t>
        <w:br/>
        <w:t>2</w:t>
      </w:r>
    </w:p>
    <w:p>
      <w:r>
        <w:t xml:space="preserve">contains 16 categories divided into four levels, based on composition and therapeutic indications:  </w:t>
        <w:br/>
        <w:t xml:space="preserve">ATC1 level is the most general, ATC4 level is the most detailed. The third level of the classification  </w:t>
        <w:br/>
        <w:t xml:space="preserve">("ATC 3") groups medicines according to their therapeutic indications, that is, the intended use.  </w:t>
        <w:br/>
        <w:t xml:space="preserve">This level is generally used as the starting point for analyzing the effects of a concentration  </w:t>
        <w:br/>
        <w:t xml:space="preserve">operation by competition authorities, even if they may have been led to examine the effects of a  </w:t>
        <w:br/>
        <w:t xml:space="preserve">concentration operation at the ATC4 classification level or to estimate market shares from  </w:t>
        <w:br/>
        <w:t xml:space="preserve">different data in order to take into account substitutable products from the demand perspective.  </w:t>
        <w:br/>
        <w:t xml:space="preserve">6. In some cases, the analysis has thus been conducted at the molecule level. The European  </w:t>
        <w:br/>
        <w:t xml:space="preserve">Commission has analyzed, regarding generic medicines, the overlaps of activities at the narrowest  </w:t>
        <w:br/>
        <w:t xml:space="preserve">level, based on the molecule or group of molecules concerned, estimating that demand may be  </w:t>
        <w:br/>
        <w:t xml:space="preserve">specific to a molecule and that suppliers of generic medicines compete with regard to the  </w:t>
        <w:br/>
        <w:t xml:space="preserve">reference molecule3.  </w:t>
        <w:br/>
        <w:t xml:space="preserve">7. Decision-making practice has also distinguished between (i) prescription medicines and  </w:t>
        <w:br/>
        <w:t xml:space="preserve">over-the-counter medicines; (ii) finished medicines and products under development; and (iii)  </w:t>
        <w:br/>
        <w:t xml:space="preserve">medicines according to their galenic form (with reference to the first letter of the code of the  </w:t>
        <w:br/>
        <w:t xml:space="preserve">typology of forms called "New Form Code" and used by IMS/EphMRA). In the present case, the  </w:t>
        <w:br/>
        <w:t xml:space="preserve">notified operation concerns only prescription medicines for oral use, which fall under the first  </w:t>
        <w:br/>
        <w:t xml:space="preserve">letter NFC A ("Solid Ordinary Oral").  </w:t>
        <w:br/>
        <w:t xml:space="preserve">8. Finally, the European Commission has considered that generic medicines belong to the same  </w:t>
        <w:br/>
        <w:t xml:space="preserve">market as the so-called "originator" reference medicines because they become substitutable after  </w:t>
        <w:br/>
        <w:t xml:space="preserve">the expiration of patents, especially when the healthcare regulation system promotes their use4.  </w:t>
        <w:br/>
        <w:t xml:space="preserve">a) Finished product markets  </w:t>
        <w:br/>
        <w:t xml:space="preserve">9. The parties to the operation are simultaneously active in the markets for medicines in the  </w:t>
        <w:br/>
        <w:t xml:space="preserve">ATC class 3 M5B.  </w:t>
        <w:br/>
        <w:t xml:space="preserve">10. The ATC class 3 M5B contains bone calcium regulators. Calcium regulators are primarily used  </w:t>
        <w:br/>
        <w:t xml:space="preserve">to treat osteoporosis, but they can also be used for other indications, such as oncology. The ATC  </w:t>
        <w:br/>
        <w:t xml:space="preserve">class 3 M5B is segmented into three ATC 4 classes: (i) M5B3: bisphosphonates for osteoporosis  </w:t>
        <w:br/>
        <w:t xml:space="preserve">and related disorders, (ii) M5B4: bisphosphonates for tumor-dependent calcium disorders, and  </w:t>
        <w:br/>
        <w:t xml:space="preserve">(iii) M5B9: other bone calcium regulators. The European Commission, which has already had the  </w:t>
        <w:br/>
        <w:t xml:space="preserve">opportunity to examine the ATC class 3 M5B5, has considered that there is a high degree of  </w:t>
        <w:br/>
        <w:t xml:space="preserve">substitution between all bisphosphonates but ultimately left open the question of whether the  </w:t>
        <w:br/>
        <w:t xml:space="preserve">market should be defined at the level of the ATC class 3 M5B as a whole or whether it should  </w:t>
        <w:br/>
        <w:t xml:space="preserve">be limited to bisphosphonates (combining the ATC classes 4 M5B3 and M5B4). It has, however,  </w:t>
        <w:br/>
        <w:t xml:space="preserve">considered that it is not appropriate to define the relevant market more narrowly at  </w:t>
        <w:br/>
        <w:t xml:space="preserve">3 See in particular the decision of the European Commission No. COMP/M.5865, Teva/Ratiopharm, August 3, 2010.  </w:t>
        <w:br/>
        <w:t xml:space="preserve">4 See in particular the decision of the European Commission No. COMP/M.5476, Pfizer/Wyeth, July 17, 2009.  </w:t>
        <w:br/>
        <w:t xml:space="preserve">5 See in particular the decisions of the European Commission No. COMP/M.5295, Teva/Barr, December 19, 2008, No. COMP/M.5253,  </w:t>
        <w:br/>
        <w:t xml:space="preserve">Sanofi-Aventis/Zentiva, February 4, 2009, and No. COMP/M.5555, Novartis/EBEWE, September 22, 2009, and No. COMP/M.5865  </w:t>
        <w:br/>
        <w:t xml:space="preserve">Teva/Ratiopharm, August 3, 2010.  </w:t>
        <w:br/>
        <w:t>3</w:t>
      </w:r>
    </w:p>
    <w:p>
      <w:r>
        <w:rPr>
          <w:b/>
        </w:rPr>
        <w:t>[Pages 4–6]</w:t>
      </w:r>
    </w:p>
    <w:p>
      <w:r>
        <w:t>level of the molecule (risedronic acid), due to the high degree of substitutability between this molecule and other bisphosphonates6.</w:t>
      </w:r>
    </w:p>
    <w:p>
      <w:r>
        <w:t>11. In the present case, it is not necessary to decide on the exact delineation of the relevant product market, insofar as, regardless of the delineation adopted, the conclusions of the analysis will remain unchanged. The analysis will be conducted at the levels of ATC class 3, ATC class 4, and the molecule.</w:t>
      </w:r>
    </w:p>
    <w:p>
      <w:r>
        <w:t>b) Developing product markets</w:t>
      </w:r>
    </w:p>
    <w:p>
      <w:r>
        <w:t>12. It follows from decision-making practice that the analysis of the competitive structure in the pharmaceutical sector requires taking into account products that are not yet on the market but are currently at an advanced stage of development, that is to say, at the stage of their final clinical trials (referred to as "Phase III"). The competitive potential of these products with other developing products or products already on the market can be examined based on their characteristics and the expected therapeutic indication. Thus, if these products are intended to replace existing products, the relevant markets can be defined by reference to existing ATC classes7.</w:t>
      </w:r>
    </w:p>
    <w:p>
      <w:r>
        <w:t>c) Active pharmaceutical ingredients</w:t>
      </w:r>
    </w:p>
    <w:p>
      <w:r>
        <w:t>13. European decision-making practice has considered that active pharmaceutical ingredients ("active pharmaceutical ingredients," or "API") constitute distinct product markets, situated upstream of finished pharmaceutical products, and that the markets for active pharmaceutical ingredients have at least a European geographical dimension. The Commission has considered each API as potentially constituting a relevant product market in itself, while noting that it cannot be excluded that certain APIs are substitutable for each other for all or part of the application ranges8.</w:t>
      </w:r>
    </w:p>
    <w:p>
      <w:r>
        <w:t>d) Contract manufacturing</w:t>
      </w:r>
    </w:p>
    <w:p>
      <w:r>
        <w:t>14. Contract manufacturing of finished pharmaceutical products may include the final packaging of the product on behalf of a third pharmaceutical company. This third company may then market the finished products under its own label or brand. Such a market therefore excludes the manufacturing of active pharmaceutical ingredients, insofar as these active ingredients are generally not manufactured on a contractual basis and can usually be obtained from a wide variety of supply sources.</w:t>
      </w:r>
    </w:p>
    <w:p>
      <w:r>
        <w:t>15. Several contract manufacturing markets can be defined, each market corresponding to the pharmaceutical form that is manufactured as well as, in certain cases, to the manufacturing conditions (types of APIs involved in the process, toxicity, sterile environment, etc.)9.</w:t>
      </w:r>
    </w:p>
    <w:p>
      <w:r>
        <w:t>6 See the European Commission decision No. COMP/M.5253, Sanofi-Aventis/Zentiva, February 4, 2009, §144.</w:t>
      </w:r>
    </w:p>
    <w:p>
      <w:r>
        <w:t>7 See the European Commission decision No. COMP/M.2517, Bristol Myers Squibb/Du Pont, August 9, 2001, and the decision of the Competition Authority No. 10-DCC-191 of December 19, 2010, cited above.</w:t>
      </w:r>
    </w:p>
    <w:p>
      <w:r>
        <w:t>8 See the European Commission decision No. COMP/M.5253, Sanofi-Aventis/Zentiva, cited above, §179 et seq.</w:t>
      </w:r>
    </w:p>
    <w:p>
      <w:r>
        <w:t>9 Id., §189.</w:t>
      </w:r>
    </w:p>
    <w:p>
      <w:r>
        <w:t>e) Licensing</w:t>
      </w:r>
    </w:p>
    <w:p>
      <w:r>
        <w:t>16. European decision-making practice considers that licensing constitutes a distinct market, situated upstream of the markets for finished pharmaceutical products. It has also considered a segmentation of this market by API10.</w:t>
      </w:r>
    </w:p>
    <w:p>
      <w:r>
        <w:t>B. GEOGRAPHICAL MARKETS</w:t>
      </w:r>
    </w:p>
    <w:p>
      <w:r>
        <w:t>17. National and European decision-making practice11 considers that, despite the existence of a trend towards the harmonization of markets at the European level, the markets for medicines remain of national dimension.</w:t>
      </w:r>
    </w:p>
    <w:p>
      <w:r>
        <w:t>18. Regarding active pharmaceutical ingredients, decision-making practice considers that the geographical dimension of the markets on which they are marketed is certainly broader than that of pharmaceutical products, and possibly of global size12.</w:t>
      </w:r>
    </w:p>
    <w:p>
      <w:r>
        <w:t>19. Regarding the provision of contract manufacturing services, European decision-making practice considers that this market is of global dimension, or at least European.</w:t>
      </w:r>
    </w:p>
    <w:p>
      <w:r>
        <w:t>20. Regarding licensing, European decision-making practice considers that the geographical dimension of this market is at least European13.</w:t>
      </w:r>
    </w:p>
    <w:p>
      <w:r>
        <w:t>21. There is no need to challenge these delineations for the analysis of the effects of the present operation.</w:t>
      </w:r>
    </w:p>
    <w:p>
      <w:r>
        <w:t>III. Competitive Analysis</w:t>
      </w:r>
    </w:p>
    <w:p>
      <w:r>
        <w:t>22. In France, Warner Chilcott sells the following two products: Actonel (risedronate sodium), which belongs to the ATC therapeutic class 3 M5B (bone calcium regulators) and ATC 4 M5B3 (bisphosphonates for osteoporosis and related disorders), and Cacit, which belongs to the ATC class 3 A12A (calcium carbonate). Actavis, for its part, sells Risedronate and Alendronic Acid in France, also falling under ATC classes 3 M5B and ATC 4 M5B3. [Confidential].</w:t>
      </w:r>
    </w:p>
    <w:p>
      <w:r>
        <w:t>10 European Commission decision COMP/M.6613, Watson/Actavis, October 5, 2012, §120 et seq.</w:t>
      </w:r>
    </w:p>
    <w:p>
      <w:r>
        <w:t>11 See in particular the European Commission decisions No. COMP/M.5295, Teva/Barr, December 19, 2008, No. COMP/M.5253, Sanofi-Aventis/Zentiva, February 4, 2009, No. COMP/M.5555, Novartis/EBEWE, September 22, 2009, the decision of the Minister C2006-142, of December 20, 2006, regarding the acquisition of 3M by Meda, and the decision of the Competition Authority No. 10-DCC-191 of December 19, 2010, regarding the exclusive control of the Théramex group by the Teva group.</w:t>
      </w:r>
    </w:p>
    <w:p>
      <w:r>
        <w:t>12 See the European Commission decision COMP/M.5555, Novartis/Ebewe, September 22, 2009.</w:t>
      </w:r>
    </w:p>
    <w:p>
      <w:r>
        <w:t>13 See the European Commission decision COMP/M.6613, Watson/Actavis, cited above.</w:t>
      </w:r>
    </w:p>
    <w:p>
      <w:r>
        <w:t>A. MARKETS FOR FINISHED PRODUCTS</w:t>
      </w:r>
    </w:p>
    <w:p>
      <w:r>
        <w:t>23. The operation leads to an overlap of activity between the parties in ATC classes 3 M5B and ATC 4 M5B3, as well as at the level of the molecule risedronic acid.</w:t>
      </w:r>
    </w:p>
    <w:p>
      <w:r>
        <w:t>24. In the ATC 3 M5B segment, the combined market share of the parties in 2012 in France is [10-20]% in value and [10-20]% in volume, with a minimal market share increment ([0-5]% for Actavis in value and [0-5]% in volume).</w:t>
      </w:r>
    </w:p>
    <w:p>
      <w:r>
        <w:t>25. The new entity will continue to face competition from many players, the most significant of which are Novartis ([30-40]% in value, [0-5]% in volume), Merck &amp; Co ([10-20]% in value, [20-30]% in volume), Servier ([5-10]% in value, [20-30]% in volume), Ipsen ([5-10]% in value, [5-10]% in volume), and Mylan ([5-10]% in value, [5-10]% in volume) and Bayer ([0-5]% in value, [5-10]% in volume). Many competitors thus market generic versions of Actonel, with formulations, dosage, pharmaceutical form, and route of administration identical to those offered by the parties.</w:t>
      </w:r>
    </w:p>
    <w:p>
      <w:r>
        <w:t>26. In the ATC 4 M5B3 segment, the combined market share of the parties in 2012 in France is [20-30]% in value and [20-30]% in volume, with a minimal market share increment ([0-5]% for Actavis in value and [0-5]% in volume).</w:t>
      </w:r>
    </w:p>
    <w:p>
      <w:r>
        <w:t>27. At the ATC 4 classification level, the new entity will therefore also continue to face effective competition from many players, the most significant of which are Merck &amp; Co ([20-30]% in value, [30-40]% in volume), Novartis ([10-20]% in value, [0-5]% in volume), Ipsen ([5-10]% in value, [10-20]% in volume), Servier ([5-10]% in value, [5-10]% in volume), and Mylan ([5-10]% in value, [5-10]% in volume).</w:t>
      </w:r>
    </w:p>
    <w:p>
      <w:r>
        <w:t>28. In the risedronic acid segment, the combined market share of the parties in 2012 in France is [50-60]% in volume and [70-80]% in value, with a very low market share increment ([0-5]% by Actavis in value and [0-5]% in volume).</w:t>
      </w:r>
    </w:p>
    <w:p>
      <w:r>
        <w:t>29. However, the parties emphasize that the effects of the operation are all the more limited, even at the molecule level, as Actonel entered the public domain in 2010. Since 2010, many competitors have thus developed generic versions of the drug. Warner Chilcott's market share has thus decreased from that of a monopoly to [70-80]% in value and approximately [50-60]%14 in volume between 2010 and 2012 and is expected to continue to decline in 2013. Furthermore, based on the latest IMS Health data for the first quarter of 2013, Actonel's share of total risedronic acid sales in France is [40-50]% in value and [20-30]% in volume15. The parties face many competitors for the sale of risedronic acid in France (including Servier, Mylan, Teva, Sanofi, and Novartis), while several other operators, including Altiso, Aurobindo Pharma, and Nialex, hold a marketing authorization for risedronic acid in France. Finally, operators currently active in other EU countries such as Kohl Medical AG, Anwerina Deutschland, ACA Mueller, or Beragena could easily supply the French market with risedronic acid, for example, in the event of shortages or price increases, either directly or through parallel imports.</w:t>
      </w:r>
    </w:p>
    <w:p>
      <w:r>
        <w:t>30. It follows from all these elements that the operation is not likely to harm competition in the relevant markets.</w:t>
      </w:r>
    </w:p>
    <w:p>
      <w:r>
        <w:t>14 Source: MIDAS Q4 2012, IMS Health.</w:t>
      </w:r>
    </w:p>
    <w:p>
      <w:r>
        <w:t>15 Source: IMS Health, Q1 2013.</w:t>
      </w:r>
    </w:p>
    <w:p>
      <w:r>
        <w:rPr>
          <w:b/>
        </w:rPr>
        <w:t>[Pages 7–8]</w:t>
      </w:r>
    </w:p>
    <w:p>
      <w:r>
        <w:t xml:space="preserve">B. DEVELOPING PRODUCTS  </w:t>
        <w:br/>
        <w:t xml:space="preserve">31. [Confidential]. Consequently, there is no overlap between the parties' activities concerning developing products in France.  </w:t>
        <w:br/>
        <w:t xml:space="preserve">32. [Confidential].  </w:t>
        <w:br/>
        <w:t xml:space="preserve">33. [Confidential].  </w:t>
        <w:br/>
        <w:t xml:space="preserve">34. [Confidential].  </w:t>
        <w:br/>
        <w:t xml:space="preserve">C. ACTIVE PHARMACEUTICAL INGREDIENTS (APIs)  </w:t>
        <w:br/>
        <w:t xml:space="preserve">35. Actavis's activities in supplying active pharmaceutical ingredients to third parties are limited and primarily conducted within the framework of the company's active management policies to avoid waste of surplus products. Warner Chilcott does not supply APIs to third parties. Therefore, there is no horizontal overlap between the parties' activities in this area.  </w:t>
        <w:br/>
        <w:t xml:space="preserve">36. Warner Chilcott purchases APIs from third parties that it uses for the manufacturing of its products sold in France. However, Actavis does not supply APIs related to the M5B molecules to third parties and also primarily sources APIs contained in the M5B products it sells in France from third parties. There is therefore no vertical integration between the parties' activities in the field of APIs.  </w:t>
        <w:br/>
        <w:t xml:space="preserve">D. CONTRACT MANUFACTURING  </w:t>
        <w:br/>
        <w:t xml:space="preserve">37. The operation does not result in horizontal overlap between the parties' activities in contract manufacturing in the EEA, since, while Actavis engages in this activity to a limited extent, Warner Chilcott does not provide any contract manufacturing services in the EEA.  </w:t>
        <w:br/>
        <w:t xml:space="preserve">38. There is also no vertical relationship between the parties' activities regarding contract manufacturing services insofar as Warner Chilcott sells Actonel products manufactured in France by a third party [confidential]. Actavis internally manufactures risedronic acid that it supplies in France or obtains this product in its finished form from third parties under licensing agreements, and is not a competitor of [confidential] in providing contract manufacturing services concerning risedronic acid.  </w:t>
        <w:br/>
        <w:t xml:space="preserve">E. LICENSING  </w:t>
        <w:br/>
        <w:t xml:space="preserve">39. Warner Chilcott has signed various licensing agreements for certain products with Actavis and other licensees16. The only agreement granting marketing rights in the EEA licenses Actavis for the product [confidential]. However, the product is not authorized in the EEA and, consequently, is not marketed by Actavis in France, nor in the EEA. The licensing agreement for [confidential] therefore does not create any vertical link between Warner Chilcott's licensing activities and Actavis's provision of finished pharmaceutical products in France or in the EEA.  </w:t>
        <w:br/>
        <w:t xml:space="preserve">40. Actavis does not grant any licenses on the molecules sold by Warner Chilcott in France. Therefore, there is no vertical integration between Actavis's licensing activities and Warner Chilcott's provision of finished pharmaceutical products in France.  </w:t>
        <w:br/>
        <w:t xml:space="preserve">41. In light of all these elements, the notified operation is not likely to harm competition in the relevant markets.  </w:t>
        <w:br/>
        <w:t xml:space="preserve">DECIDES  </w:t>
        <w:br/>
        <w:t xml:space="preserve">Sole Article: The notified operation under number 13-104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