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https://www.autoritedelaconcurrence.fr/fr/decision-de-controle-des-concentrations/relative-la-prise-de-controle-exclusif-de-la-societe-weave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18-DCC-186 of October 31, 2018  </w:t>
        <w:br/>
        <w:t xml:space="preserve">regarding the exclusive control acquisition of the company Weave by the company  </w:t>
        <w:br/>
        <w:t xml:space="preserve">Onepoint  </w:t>
        <w:br/>
        <w:t xml:space="preserve">The Competition Authority,  </w:t>
        <w:br/>
        <w:t xml:space="preserve">Having regard to the complete notification file sent to the mergers department on October 9, 2018,  </w:t>
        <w:br/>
        <w:t xml:space="preserve">concerning the exclusive control acquisition of the company Weave SAS by the company Onepoint SAS,  </w:t>
        <w:br/>
        <w:t xml:space="preserve">formalized by a share transfer agreement dated September 25,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Onepoint SAS of exclusive control  </w:t>
        <w:br/>
        <w:t xml:space="preserve">of the company Weave SAS. It constitutes a concentration within the meaning of Article L. 430-1 of the  </w:t>
        <w:br/>
        <w:t xml:space="preserve">Commercial Code. Given the turnover achieved by the concerned companies, the operation does not fall  </w:t>
        <w:br/>
        <w:t xml:space="preserve">within the competence of the European Union. On the other hand, the control thresholds mentioned in I of  </w:t>
        <w:br/>
        <w:t xml:space="preserve">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The markets concerned by the operation are the markets for IT services and management consulting  </w:t>
        <w:br/>
        <w:t xml:space="preserve">to businesses, which are consistently defined by the decision-making practice of the Competition Authority.  </w:t>
        <w:br/>
        <w:t xml:space="preserve">3. Regardless of the segmentations retained, the combined market shares of the parties are below 25%  </w:t>
        <w:br/>
        <w:t xml:space="preserve">when their activities overlap in the same market and below 30% when their activities are located in  </w:t>
        <w:br/>
        <w:t xml:space="preserve">related markets.  </w:t>
        <w:br/>
        <w:t xml:space="preserve">4. Considering the elements of the file and in particular point 384 of the guidelines of the Competition  </w:t>
        <w:br/>
        <w:t>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18-201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