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https://www.autoritedelaconcurrence.fr/fr/decision-de-controle-des-concentrations/relative-la-prise-de-controle-exclusif-de-la-societe-wstore</w:t>
      </w:r>
    </w:p>
    <w:p>
      <w:r>
        <w:t>Pages translated : 2</w:t>
      </w:r>
    </w:p>
    <w:p/>
    <w:p>
      <w:r>
        <w:rPr>
          <w:b/>
        </w:rPr>
        <w:t>[Pages 1–2]</w:t>
      </w:r>
    </w:p>
    <w:p>
      <w:r>
        <w:t xml:space="preserve">FRENCH REPUBLIC  </w:t>
        <w:br/>
        <w:t xml:space="preserve">Decision No. 18-DCC-143 of August 22, 2018  </w:t>
        <w:br/>
        <w:t xml:space="preserve">regarding the exclusive control acquisition of Wstore Europe by  </w:t>
        <w:br/>
        <w:t xml:space="preserve">Bechtle AG  </w:t>
        <w:br/>
        <w:t xml:space="preserve">The Competition Authority,  </w:t>
        <w:br/>
        <w:t xml:space="preserve">Having regard to the complete notification file submitted to the mergers department on August 2, 2018,  </w:t>
        <w:br/>
        <w:t xml:space="preserve">concerning the exclusive control acquisition of Wstore Europe by Bechtle AG,  </w:t>
        <w:br/>
        <w:t xml:space="preserve">formalized by a share purchase agreement dated July 30, 2018;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Wstore Europe by  </w:t>
        <w:br/>
        <w:t xml:space="preserve">Bechtle AG. It constitutes a concentration within the meaning of Article L. 430-1 of the Commercial Code.  </w:t>
        <w:br/>
        <w:t xml:space="preserve">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the supply of IT products, the retail distribution of IT products, IT services, and IT solutions, which are consistently defined by the decision-making practice of the Competition Authority.  </w:t>
        <w:br/>
        <w:t xml:space="preserve">3. Regardless of the segmentations retained,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18-165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