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https://www.autoritedelaconcurrence.fr/fr/decision-de-controle-des-concentrations/relative-la-prise-de-controle-exclusif-de-la-societe-xpage</w:t>
      </w:r>
    </w:p>
    <w:p>
      <w:r>
        <w:t>Pages translated : 7</w:t>
      </w:r>
    </w:p>
    <w:p/>
    <w:p>
      <w:r>
        <w:rPr>
          <w:b/>
        </w:rPr>
        <w:t>[Pages 1–3]</w:t>
      </w:r>
    </w:p>
    <w:p>
      <w:r>
        <w:t xml:space="preserve">FRENCH REPUBLIC  </w:t>
        <w:br/>
        <w:t xml:space="preserve">Decision No. 25-DCC-123 of June 12, 2025  </w:t>
        <w:br/>
        <w:t xml:space="preserve">regarding the exclusive control of XPage Group  </w:t>
        <w:br/>
        <w:t xml:space="preserve">(BVA Group) by IPSOS  </w:t>
        <w:br/>
        <w:t xml:space="preserve">The Competition Authority,  </w:t>
        <w:br/>
        <w:t xml:space="preserve">Having regard to the notification file submitted in full to the merger service on May 14, 2025,  </w:t>
        <w:br/>
        <w:t xml:space="preserve">regarding the exclusive control of XPage Group, the holding company of the BVA group,  </w:t>
        <w:br/>
        <w:t xml:space="preserve">by IPSOS, formalized by a firm acquisition offer signed on March 31, 2025;  </w:t>
        <w:br/>
        <w:t xml:space="preserve">Having regard to Book IV of the Commercial Code relating to the freedom of prices and competition, and  </w:t>
        <w:br/>
        <w:t xml:space="preserve">in particular its Articles L. 430-1 to L. 430-7;  </w:t>
        <w:br/>
        <w:t xml:space="preserve">Having regard to the elements submitted by the notifying party during the investigation;  </w:t>
        <w:br/>
        <w:t xml:space="preserve">Having regard to the other documents in the file;  </w:t>
        <w:br/>
        <w:t>Adopts the following decision:</w:t>
      </w:r>
    </w:p>
    <w:p>
      <w:r>
        <w:t xml:space="preserve">I. The Companies Involved and the Transaction  </w:t>
        <w:br/>
        <w:t xml:space="preserve">1. IPSOS is a French survey company founded in 1975 by Didier Truchot, the current  </w:t>
        <w:br/>
        <w:t xml:space="preserve">president, and is more broadly active in the market research sector. It notably markets  </w:t>
        <w:br/>
        <w:t xml:space="preserve">studies conducted through surveys in various sectors for businesses and institutions. It is present internationally, in approximately 90 countries.  </w:t>
        <w:br/>
        <w:t xml:space="preserve">2. XPage Group is the holding company of the BVA group, created in 1970 by Michel Brulé and Jean-Pierre Ville, who give their names to the company: "Brulé, Ville et Associé" (BVA). BVA, like IPSOS, is active in the survey and market research sector in various sectors in numerous countries.  </w:t>
        <w:br/>
        <w:t xml:space="preserve">3. The contemplated transaction involves the acquisition by IPSOS of all shares and voting rights of XPage Group.  </w:t>
        <w:br/>
        <w:t xml:space="preserve">4. Insofar as it results in the exclusive control by IPSOS of XPage Group, the notified transaction constitutes a concentration operation within the meaning of Article L. 430-1 of the Commercial Code.  </w:t>
        <w:br/>
        <w:t xml:space="preserve">5. The companies involved together generate a global turnover exceeding 150 million euros (IPSOS: 2,390 million euros for the fiscal year ending December 31, 2023; XPage Group: [&gt;150] million euros for the same fiscal year). Each of these two companies generates, in France, a turnover exceeding 50 million euros (IPSOS: [&gt;50] million euros for the fiscal year ending December 31, 2023; XPage Group: [&gt;50] million euros for the same fiscal year).  </w:t>
        <w:br/>
        <w:t xml:space="preserve">6. Furthermore, while the combined global turnover of the companies involved exceeds the threshold of 2,500 million euros, their combined turnover within a Member State exceeds the threshold of 100 million euros only in France.  </w:t>
        <w:br/>
        <w:t>7. Given these turnover figures, the transaction is not of European dimension. However, the control thresholds mentioned in I of Article L. 430-2 of the Commercial Code are exceeded. The present transaction is therefore subject to the provisions of Articles L. 430-3 and following of the Commercial Code, relating to economic concentration.</w:t>
      </w:r>
    </w:p>
    <w:p>
      <w:r>
        <w:t xml:space="preserve">II. Definition of the Relevant Markets  </w:t>
        <w:br/>
        <w:t xml:space="preserve">8. While the Authority has never been called upon to define the market for market research services, the European Commission has had the opportunity to rule on this issue several times, notably in the context of the concentration operation whereby Advent acquired GFK, authorized, subject to commitments, on July 4, 2023.  </w:t>
        <w:br/>
        <w:t>9. Based on this decisional practice and the investigation conducted in the context of the present operation, which led to a market test, the Authority considers that the competitive analysis should be conducted on a national market for customized market research services where the activities of the parties primarily overlap and where it is appropriate to examine possible segmentations.</w:t>
      </w:r>
    </w:p>
    <w:p>
      <w:r>
        <w:t xml:space="preserve">A. THE MARKET FOR CUSTOMIZED MARKET RESEARCH SERVICES  </w:t>
        <w:br/>
        <w:t xml:space="preserve">1. SERVICE MARKET  </w:t>
        <w:br/>
        <w:t xml:space="preserve">10. Among the "market research" services, the European Commission considers that it is necessary to distinguish three service markets:  </w:t>
        <w:br/>
        <w:t xml:space="preserve">- "Consumer panel services" (hereinafter "CPS"), which track over time the behavior, particularly purchasing behavior, of a sample of individuals representative of the population to which they belong;  </w:t>
        <w:br/>
        <w:t xml:space="preserve">- "Retail measurement services" (hereinafter "RMS"), which track the purchases of a panel of customers at given retail outlets;  </w:t>
        <w:br/>
        <w:t xml:space="preserve">- Customized market research studies ("Customized Market Research", hereinafter "CMR"), which consist of conducting surveys and studies responding to the specific demand of a client, carried out on a tailor-made basis (ad hoc studies in industry jargon).  </w:t>
        <w:br/>
        <w:t xml:space="preserve">11. The reason justifying this segmentation is twofold: on the one hand, for clients, these three types of services, which provide different insights into the dynamics of the relevant developments and trends, are complementary; on the other hand, the service providers are not the same, and there is no player that holds a strong position in each of these service markets.  </w:t>
        <w:br/>
        <w:t xml:space="preserve">12. The market test conducted for the purposes of this investigation confirmed this approach. Indeed, 80% of respondents who expressed an opinion on the matter consider that the segmentation of the European Commission is relevant.  </w:t>
        <w:br/>
        <w:t>13. Since the parties are not active in the first two markets ("consumer panels" and "retail measurement panels"), the developments that follow concern only the market for customized market research services (CMR).</w:t>
      </w:r>
    </w:p>
    <w:p>
      <w:r>
        <w:t xml:space="preserve">On a possible distinction between national or multi-country customized market research studies  </w:t>
        <w:br/>
        <w:t>14. In its aforementioned decision of July 4, 2023, the European Commission considered a segmentation of the CMR market, between, on the one hand, national studies and, on the other hand, multinational studies (or multi-country, that is, relating to the behavior of individuals from several countries), indicating in particular that the services provided are generally similar, even if multi-country studies are of a higher level of complexity. However, it ultimately left open the question of the relevance of such segmentation.</w:t>
      </w:r>
    </w:p>
    <w:p>
      <w:r>
        <w:rPr>
          <w:b/>
        </w:rPr>
        <w:t>[Pages 4–6]</w:t>
      </w:r>
    </w:p>
    <w:p>
      <w:r>
        <w:t>15. In this case, it emerges from the information gathered during the market test that the samples on which the customized market studies are based are largely composed of individuals residing in France (whose weight in the concerned samples is generally over 80%). The requests expressed by clients most often respond to a need for insight into issues that fall within a national context (e.g., social barometer, voting intention survey for an election, consumer behavior, etc.).</w:t>
      </w:r>
    </w:p>
    <w:p>
      <w:r>
        <w:t>16. In any event, as long as the conclusion of the competitive analysis remains unchanged regardless of the segmentation adopted, the question of market segmentation for customized market research services based on the national or multinational nature of the study may remain open.</w:t>
      </w:r>
    </w:p>
    <w:p>
      <w:r>
        <w:t>On a possible segmentation of the market for customized market research services by sector of activity</w:t>
      </w:r>
    </w:p>
    <w:p>
      <w:r>
        <w:t>17. In the decision of September 23, 2008, WPP/TNS, the Commission mentioned the possibility of segmenting the market for customized market research services by sector of activity, particularly in the health and automotive sectors, while leaving open the question of the relevance of such segmentation.</w:t>
      </w:r>
    </w:p>
    <w:p>
      <w:r>
        <w:t>18. The market test conducted in this case shows that the sector of activity is not (for 9 out of 10 respondents) a relevant distinguishing criterion among customized market research services.</w:t>
      </w:r>
    </w:p>
    <w:p>
      <w:r>
        <w:t>19. The information gathered indicates, on the contrary, that the methods on the one hand, particularly statistical methods, and on the other hand, the type of services (i.e., production and formatting of knowledge aimed at shedding light on a specific question at the request of a client) are generally similar regardless of the sector of activity concerned. Furthermore, the market test reveals that many providers conduct studies related to various sectors, even if some players are specialized, particularly in the health sector.</w:t>
      </w:r>
    </w:p>
    <w:p>
      <w:r>
        <w:t>20. That being said, since the conclusion of the competitive analysis remains unchanged regardless of the segmentation adopted, the question of the exact delimitation of the market for customized market research services by sector of activity may be left open.</w:t>
      </w:r>
    </w:p>
    <w:p>
      <w:r>
        <w:t>***</w:t>
      </w:r>
    </w:p>
    <w:p>
      <w:r>
        <w:t>21. In light of the above, the transaction will be analyzed in the market for customized market research services, segmented by the national or multi-country nature of the customized market research studies, on the one hand, and distinguishing the health sector and the automotive sector, on the other hand.</w:t>
      </w:r>
    </w:p>
    <w:p>
      <w:r>
        <w:t>2. GEOGRAPHICAL MARKET</w:t>
      </w:r>
    </w:p>
    <w:p>
      <w:r>
        <w:t>22. In its aforementioned decision of July 4, 2023, the Commission considered that the market for customized market research studies would likely be of national dimension, while leaving open the question of its European dimension. Indeed, it noted that suppliers differed by country, that the market was very fragmented, and that the data on which the studies are based were specific to each country.</w:t>
      </w:r>
    </w:p>
    <w:p>
      <w:r>
        <w:t>23. The elements submitted to the file, confirmed by the market test, indeed show that customized market studies have a very pronounced national character (constitution of samples of individuals at the national level; weight of French companies among clients in the national market).</w:t>
      </w:r>
    </w:p>
    <w:p>
      <w:r>
        <w:t>***</w:t>
      </w:r>
    </w:p>
    <w:p>
      <w:r>
        <w:t>24. In light of the above, the geographical market retained for the purposes of this investigation is national.</w:t>
      </w:r>
    </w:p>
    <w:p>
      <w:r>
        <w:t>III. Competitive Analysis</w:t>
      </w:r>
    </w:p>
    <w:p>
      <w:r>
        <w:t>25. The competitive analysis addresses the horizontal effects of the transaction on the market for customized market research services where the activities of the parties primarily overlap.</w:t>
      </w:r>
    </w:p>
    <w:p>
      <w:r>
        <w:t>Analysis of the horizontal effects of the concentration based on the market shares of the parties</w:t>
      </w:r>
    </w:p>
    <w:p>
      <w:r>
        <w:t>26. The contemplated transaction results in an overlap of activities between IPSOS and BVA in the market for customized market research services, primarily in France. The estimated market shares of the parties, in terms of revenue generated in France, are reproduced below for all the segmentations considered above.</w:t>
      </w:r>
    </w:p>
    <w:p>
      <w:r>
        <w:t>Table No. 1 – Estimated market shares of the parties</w:t>
        <w:br/>
        <w:t>France IPSOS BVA Total</w:t>
        <w:br/>
        <w:t>Customized market research services [5-10] % [0-5] % [10-20] %</w:t>
        <w:br/>
        <w:t>National vs multi-country segmentation</w:t>
        <w:br/>
        <w:t>"National Studies" Segment [5-10] % [0-5] % [10-20] %</w:t>
        <w:br/>
        <w:t>"Multi-country Studies" Segment [10-20] % [5-10] % [20-30] %</w:t>
        <w:br/>
        <w:t>Segmentation by sector of activity</w:t>
        <w:br/>
        <w:t>"Health" Segment &lt; [10-20] % &lt; [5-10] % &lt; [20-30] %</w:t>
        <w:br/>
        <w:t>"Automotive" Segment [10-20] % [0-5] % [10-20] %</w:t>
      </w:r>
    </w:p>
    <w:p>
      <w:r>
        <w:t>27. It follows from this data that the market share of the new entity is below 25% regardless of the segmentation adopted. Below this market share threshold, it is presumed that the transaction does not harm competition through unilateral effects.</w:t>
      </w:r>
    </w:p>
    <w:p>
      <w:r>
        <w:t>28. It should also be noted that a characteristic of the market for customized market research services reinforces the absence of risk of horizontal effects. It is a sector that primarily operates through tenders. Consequently, it is the clients who initiate the demand for a specific study, and potential providers are, in fact, put in competition at each tender, the largest of which are divided into lots, which are generally awarded to different providers.</w:t>
      </w:r>
    </w:p>
    <w:p>
      <w:r>
        <w:t>29. In practice, the new entity will face competition from many players in the French market: firstly, players of comparable size and reputation such as Kantar or IFOP; secondly, some large American consulting firms; thirdly, small research firms, generally specialized in a sector; finally, new digital players, foremost among them those offering new services such as self-creation tools and survey and inquiry execution. The Authority does not rule out, at this stage, the existence of potential competition from BigTech, which have precise data on various aspects of the behavior and preferences of hundreds of millions of individuals. In this case, however, this potential competition is not taken into account in the absence of sufficiently substantiated elements showing that it could, in the short term, exert significant competitive pressure on market players.</w:t>
      </w:r>
    </w:p>
    <w:p>
      <w:r>
        <w:t>30. Thus, given the existence of numerous competitors and the limited market shares of the new entity, the transaction results in a limited change in the structure of competition in the national market for customized market research services and, consequently, is not likely to harm competition.</w:t>
      </w:r>
    </w:p>
    <w:p>
      <w:r>
        <w:t>On a possible market power below the thresholds of concern that the new entity would hold</w:t>
      </w:r>
    </w:p>
    <w:p>
      <w:r>
        <w:t>31. Despite the limited position, as seen above, that the new entity would hold in the market, several respondents to the market test indicated that the transaction could, in their view, harm competition for the following reasons.</w:t>
      </w:r>
    </w:p>
    <w:p>
      <w:r>
        <w:t>32. Firstly, since the contemplated transaction would bring together two entities that already have, individually, a very strong reputation, the new entity would have an even greater reputation (brand effect).</w:t>
      </w:r>
    </w:p>
    <w:p>
      <w:r>
        <w:t>33. Secondly, the transaction would strengthen the position of the market leader, IPSOS, by creating an entity with a size that would allow it to build rich databases, achieve significant economies of scale, have a relatively strong sales force, and enhanced international scope.</w:t>
      </w:r>
    </w:p>
    <w:p>
      <w:r>
        <w:t>34. Finally, the new entity would combine the classic expertise of IPSOS, particularly in surveys, the expertise of BVA in behavioral sciences, as well as the new tools developed by IPSOS based on artificial intelligence (AI), such as the "Innoexplorer AI" tool, which would be capable of "generating innovations and predicting their potential in any product category." According to some respondents, this concentration would give IPSOS a competitive advantage.</w:t>
      </w:r>
    </w:p>
    <w:p>
      <w:r>
        <w:t>35. However, the arguments put forward by the competitors of the parties cannot undermine the presumption of the absence of horizontal effects related to the contemplated concentration for the following reasons.</w:t>
      </w:r>
    </w:p>
    <w:p>
      <w:r>
        <w:t>36. Firstly, the arrival in recent years of new operators in the market, some of whom were interviewed as part of the market test, demonstrates that reputation or the establishment or holding of databases are not insurmountable barriers to entry. In this regard, it should be noted that survey data is generally owned by clients, not providers, which prevents any aggregation or consolidation of data, as well as their holding, which is subject to strict regulation (i.e., GDPR).</w:t>
      </w:r>
    </w:p>
    <w:p>
      <w:r>
        <w:rPr>
          <w:b/>
        </w:rPr>
        <w:t>[Pages 7–7]</w:t>
      </w:r>
    </w:p>
    <w:p>
      <w:r>
        <w:t>37. Secondly, the arguments presented above, such as the realization of economies of scale or synergies between the merging entities, indicate that the contemplated transaction would rather increase competitive pressure in the market. The strengthening of competitive pressure, particularly on prices (downward), is indeed one of the concerns expressed by several respondents to the market test. In this sense, the transaction appears to be pro-competitive as it should lead the competitors of the new entity to implement strategies, in terms of quality, innovation, or price, to retain or even gain customers.</w:t>
      </w:r>
    </w:p>
    <w:p>
      <w:r>
        <w:t>38. Finally, specifically regarding artificial intelligence (AI) and more generally information technologies, it should be noted that this phenomenon is neither new nor exclusive to the market research sector. For instance, IPSOS has been using "Large Language Models" (LLM) for many years, particularly to automate the execution of certain tasks related to data processing. Furthermore, according to one respondent to the market test, the "Innoexplorer AI" tool would represent an advantage for IPSOS, but it is not an irreplicable tool by a competitor. In the current state of the file, the Authority finds that the innovation generated by AI is not compromised by the transaction: there are numerous alternatives in the market that the competitors of the parties exploit or can develop.</w:t>
      </w:r>
    </w:p>
    <w:p>
      <w:r>
        <w:t>***</w:t>
      </w:r>
    </w:p>
    <w:p>
      <w:r>
        <w:t>39. In light of the above, the contemplated transaction is not likely to harm competition in the market for customized market research services in France.</w:t>
      </w:r>
    </w:p>
    <w:p>
      <w:r>
        <w:t>DECIDES</w:t>
      </w:r>
    </w:p>
    <w:p>
      <w:r>
        <w:t>Sole Article: The transaction notified under number 25-085 is authorized.</w:t>
      </w:r>
    </w:p>
    <w:p>
      <w: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