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https://www.autoritedelaconcurrence.fr/fr/decision-de-controle-des-concentrations/relative-la-prise-de-controle-exclusif-de-la-societe-ybh</w:t>
      </w:r>
    </w:p>
    <w:p>
      <w:r>
        <w:t>Pages translated : 4</w:t>
      </w:r>
    </w:p>
    <w:p/>
    <w:p>
      <w:r>
        <w:rPr>
          <w:b/>
        </w:rPr>
        <w:t>[Pages 1–3]</w:t>
      </w:r>
    </w:p>
    <w:p>
      <w:r>
        <w:t xml:space="preserve">FRENCH REPUBLIC  </w:t>
        <w:br/>
        <w:t xml:space="preserve">Decision No. 10-DCC-185 of December 13, 2010  </w:t>
        <w:br/>
        <w:t xml:space="preserve">regarding the exclusive control of the company YBH  </w:t>
        <w:br/>
        <w:t>by the company Système U Centrale Régionale Est</w:t>
      </w:r>
    </w:p>
    <w:p>
      <w:r>
        <w:t xml:space="preserve">The Competition Authority,  </w:t>
        <w:br/>
        <w:t xml:space="preserve">Having regard to the notification file submitted in full to the merger service on November 10, 2010, concerning the acquisition of the company YBH by the company Système U Centrale Régionale Est, formalized by a memorandum of understanding dated October 28, 2010;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The company Système U Centrale Régionale Est (hereinafter "Système U CRE") is a cooperative company of retail merchants. Active in the east of France, it is one of the four regional cooperatives of the cooperative group Système U. Its partners are independent merchants, each owning their store, who operate stores under the brands Hyper U (61 stores), Super U (718 stores), Marché U (112 stores), Express U (47 stores), and Utile (240 stores).  </w:t>
        <w:br/>
        <w:t xml:space="preserve">2. The company YBH is a simplified joint-stock company whose majority capital is held by Mr. X, the remainder of the capital being held by members of the X family. The company YBH holds three simplified joint-stock companies. Two of these companies, SAS Guydis and SAS R.N. 83 Distribution (100% owned), are active in the retail sector and each operate a store under the Super U brand in the Jura department, respectively in Bletterans and Montmorot. The cafeteria company Chantrans (50% owned) operates a cafeteria restaurant under the Flunch brand in the shopping gallery of the Super U in Montmorot. The remainder of the capital is held by Mr. Y.  </w:t>
        <w:br/>
        <w:t xml:space="preserve">3. The notified operation, formalized by a memorandum of understanding dated October 28, 2010, consists of the acquisition by the company Système U CRE of the shares of the company YBH held by Mr. X and his family. The notifying party emphasizes that this operation is provisional, and the acquired shares must be transferred back as soon as possible to a new operator.  </w:t>
        <w:br/>
        <w:t xml:space="preserve">4. It follows from the above that after the operation, control of the company YBH will be exercised exclusively by the company Système U CRE. The notified operation is therefore analyzed as an acquisition of exclusive control under the terms of Article L. 430-1 of the Commercial Code and constitutes a concentration operation.  </w:t>
        <w:br/>
        <w:t>5. The companies concerned operate one or more retail stores and together achieve a total worldwide turnover of more than 75 million euros (the Système U group: [...] billion euros for the fiscal year ending December 31, 2009; the company YBH: [...] million euros for the same fiscal year, of which [...] million euros for SAS R.N. 83 Distribution and [...] million euros for SAS Guydis). Each achieves in France in the retail sector a turnover exceeding 15 million euros (the turnover figures mentioned above are entirely generated in France). Given these turnover figures, the operation does not have a community dimension. On the other hand,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6. According to the consistent practice of national and community competition authorities, two categories of markets can be delineated in the food retail sector. These are, on the one hand, "downstream" markets, of local dimension, which bring together retail companies and consumers for the sale of consumer goods, and on the other hand, "upstream" markets for supplying retail companies with everyday consumer goods, of national dimension.  </w:t>
        <w:br/>
        <w:t>7. The parties to the operation are simultaneously active in the food distribution sector. The participation of the new entity in the company SAS Cafétéria Chantrans does not lead to any overlap of activity in the restaurant sector. Consequently, the effects of the operation will be examined solely on the food distribution markets.</w:t>
      </w:r>
    </w:p>
    <w:p>
      <w:r>
        <w:t xml:space="preserve">A. DOWNSTREAM MARKETS OF DISTRIBUTION  </w:t>
        <w:br/>
        <w:t xml:space="preserve">1. SERVICE MARKETS  </w:t>
        <w:br/>
        <w:t>8. Regarding the retail sale of everyday consumer goods, both community and national competition authorities have distinguished six categories of trade using several criteria, including store size, sales techniques, accessibility, the nature of the service provided, and the range of products offered: (i) hypermarkets, (ii) supermarkets, (iii) specialized trade, (iv) small retail trade, (v) large discounters, (vi) mail order sales.</w:t>
      </w:r>
    </w:p>
    <w:p>
      <w:r>
        <w:t xml:space="preserve">9. Supermarkets are usually defined as food-dominant stores with a legal sales area of less than 2,500 m².  </w:t>
        <w:br/>
        <w:t>10. In this case, the store operated by the company R.N. 83 Distribution in Montmorot currently occupies a sales area of 3,657 m² and is subject to an expansion project authorized by the CDAC on April 2, 2010, increasing its area to 5,600 m². It therefore falls into the category of hypermarkets. The store operated by the company Guydis in Bletterans currently occupies a sales area of 2,200 m², thus it falls into the category of supermarkets.</w:t>
      </w:r>
    </w:p>
    <w:p>
      <w:r>
        <w:t xml:space="preserve">2. GEOGRAPHICAL DELIMITATION  </w:t>
        <w:br/>
        <w:t xml:space="preserve">11. In its recent decisions relating to operations concerning hypermarkets or supermarkets, the Competition Authority has recalled that depending on the size of the stores concerned, the conditions of competition should be assessed in two different areas:  </w:t>
        <w:br/>
        <w:t xml:space="preserve">- a first market where the demand of consumers from an area meets the supply of hypermarkets to which they have access within less than 30 minutes of travel by car and which are, from their point of view, substitutable for each other;  </w:t>
        <w:br/>
        <w:t xml:space="preserve">- a second market where the demand of consumers meets the supply of supermarkets and equivalent forms of trade located within less than 15 minutes of travel by car. These latter forms of trade may include, in addition to supermarkets, hypermarkets located near consumers and discount stores.  </w:t>
        <w:br/>
        <w:t xml:space="preserve">12. Other criteria may nevertheless be taken into account to assess the impact of a concentration on the competitive situation in retail distribution markets, which may lead to refining, in the specific case, the usual delimitations presented above.  </w:t>
        <w:br/>
        <w:t>13. In this case, the store operated in Montmorot falling into the category of hypermarkets, the competitive analysis will be conducted on the market including hypermarkets within a 30-minute radius around Montmorot as well as on the market including supermarkets and equivalent forms of trade located within a 15-minute radius around Montmorot. The store operated in Bletterans falling into the category of supermarkets, the competitive analysis will be conducted on the market including supermarkets and equivalent forms of trade located within a 15-minute radius around Bletterans. However, both stores are located in the same catchment area as they are only 13 minutes apart from each other.</w:t>
      </w:r>
    </w:p>
    <w:p>
      <w:r>
        <w:t xml:space="preserve">B. UPSTREAM SUPPLY MARKETS  </w:t>
        <w:br/>
        <w:t xml:space="preserve">14. Regarding supply markets, the European Commission has recognized the existence of markets of national dimension by major product groups, a delimitation followed by national authorities.  </w:t>
        <w:br/>
        <w:t xml:space="preserve">15. There is no need to challenge this delimitation in the context of the present operation.  </w:t>
        <w:br/>
        <w:t>1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w:t>
      </w:r>
    </w:p>
    <w:p>
      <w:r>
        <w:rPr>
          <w:b/>
        </w:rPr>
        <w:t>[Pages 4–4]</w:t>
      </w:r>
    </w:p>
    <w:p>
      <w:r>
        <w:t xml:space="preserve">III. Competitive Analysis  </w:t>
        <w:br/>
        <w:t xml:space="preserve">A. DOWNSTREAM FOOD DISTRIBUTION MARKET  </w:t>
        <w:br/>
        <w:t xml:space="preserve">16. The Système U group does not own or operate any other stores in the relevant catchment area. Likewise, no store under this group's brand is present in this area.  </w:t>
        <w:br/>
        <w:t xml:space="preserve">17. In the 30-minute catchment area, the Hyper U of Montmorot represents a market share of [40-50]% and faces competition from a Géant Casino representing [50-60]% of the sales areas.  </w:t>
        <w:br/>
        <w:t xml:space="preserve">18. In the 15-minute catchment area, the stores operated under the U brand represent a cumulative market share of [30-40]% ([20-30]% for the Hyper U of Montmorot and [5-10]% for the Super U of Bletterans). These stores face competition from a hypermarket under the Casino brand representing 30.2% of the sales areas, two supermarkets, and two maxi-discounters from the Carrefour group holding 19% of the sales areas, a supermarket under the Intermarché brand representing 8.5% of the sales areas, and numerous other points of sale from the brands Lidl, Aldi, Norma, and Maximarché.  </w:t>
        <w:br/>
        <w:t xml:space="preserve">19. Consequently, the transaction is not likely to harm competition in the markets concerned.  </w:t>
        <w:br/>
        <w:t xml:space="preserve">B. UPSTREAM SUPPLY MARKET  </w:t>
        <w:br/>
        <w:t xml:space="preserve">20. Regarding the upstream supply markets, in the absence of any overlap in the activities of the parties to the transaction, it is not likely to significantly strengthen the purchasing power of the Système U group, across all products as well as by major product groups.  </w:t>
        <w:br/>
        <w:t xml:space="preserve">21. Consequently, the transaction is not likely to harm competition both in the downstream market and in the upstream market of distribution.  </w:t>
        <w:br/>
        <w:t xml:space="preserve">DECIDES  </w:t>
        <w:br/>
        <w:t xml:space="preserve">Single Article: The transaction notified under number 10-0202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