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https://www.autoritedelaconcurrence.fr/fr/decision-de-controle-des-concentrations/relative-la-prise-de-controle-exclusif-de-la-sodiac-par-cdc</w:t>
      </w:r>
    </w:p>
    <w:p>
      <w:r>
        <w:t>Pages translated : 12</w:t>
      </w:r>
    </w:p>
    <w:p/>
    <w:p>
      <w:r>
        <w:rPr>
          <w:b/>
        </w:rPr>
        <w:t>[Pages 1–3]</w:t>
      </w:r>
    </w:p>
    <w:p>
      <w:r>
        <w:t xml:space="preserve">FRENCH REPUBLIC  </w:t>
        <w:br/>
        <w:t xml:space="preserve">Decision No. 20-DCC-84 of July 17, 2020  </w:t>
        <w:br/>
        <w:t xml:space="preserve">regarding the exclusive control of SODIAC by CDC Habitat  </w:t>
        <w:br/>
        <w:t xml:space="preserve">The Competition Authority,  </w:t>
        <w:br/>
        <w:t xml:space="preserve">Having regard to the notification file submitted in full to the merger service on June 3, 2020, regarding the exclusive control of the Société Dionysienne d’Aménagement et de Construction by CDC Habitat, formalized by the letter of intent dated November 29, 2019;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Having regard to the other documents in the file;  </w:t>
        <w:br/>
        <w:t xml:space="preserve">Adopts the following decision:  </w:t>
        <w:br/>
        <w:t xml:space="preserve">I. The concerned companies and the operation  </w:t>
        <w:br/>
        <w:t xml:space="preserve">1. The Caisse des Dépôts et Consignations (hereinafter, the "CDC" or "the acquirer")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activities are grouped around four poles: (i) the environment, (ii) real estate through its subsidiaries CDC Habitat and Icade,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special protection. Its subsidiary CDC Habitat, formerly the Société Nationale Immobilière (the "SNI"), has as its main mission the sustainable development and rehabilitation of public residential real estate assets.  </w:t>
        <w:br/>
        <w:t xml:space="preserve">2. The Société Dionysienne d’Aménagement et de Construction (hereinafter, "SODIAC" or "the target") is a local mixed economy company created in 1990 to ensure the development and construction activities of collective or individual buildings primarily for residential use. Its main mission is to develop and manage social housing programs and to participate in development operations in the Reunion territory, particularly with a view to constructing social housing.  </w:t>
        <w:br/>
        <w:t xml:space="preserve">3. The operation is formalized by the evolution of the share capital of SODIAC, which will proceed with a capital increase for the benefit of the CDC, allowing the latter to ultimately hold more than half of the share capital and voting rights of the target. The remainder will be held by minority shareholders, notably the city of Saint Denis and the intercommunal community of Northern Reunion, who will not have the ability to exercise decisive influence over SODIAC in the sense of merger control. The CDC will therefore exercise exclusive control over SODIAC.  </w:t>
        <w:br/>
        <w:t xml:space="preserve">4. As it results in the exclusive control of SODIAC by the CDC, the notified operation constitutes a concentration within the meaning of Article L. 430-1 of the Commercial Code.  </w:t>
        <w:br/>
        <w:t xml:space="preserve">5. The concerned companies together achieve a total worldwide turnover of more than 75 million euros (CDC: [≥75 million] euros for the fiscal year ending December 31, 2018; SODIAC: [≤75] million euros for the fiscal year ending December 31, 2018). Each of these companies generates, in France, in at least one overseas department, a turnover exceeding 15 million euros (CDC: &gt; 15 million euros for the fiscal year ending December 31, 2018; SODIAC: [≤15] million euros for the fiscal year ending December 31, 2018). Given these turnover figures, the operation does not have a European dimension. However, the control thresholds mentioned in III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6. The sector concerned by the operation is that of real estate services.  </w:t>
        <w:br/>
        <w:t xml:space="preserve">A. THE SERVICE MARKETS  </w:t>
        <w:br/>
        <w:t xml:space="preserve">7. National1 and European2 competition authorities have considered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8. Regarding the segmentation according to the nature of the services or goods offered, the decisional practice has considered, while leaving the question open, the distinction between:  </w:t>
        <w:br/>
        <w:t xml:space="preserve">1 See in particular the decisions of the Competition Authority No. 19-DCC-204 of October 28, 2019, regarding the exclusive control of SEMADER by CDC Habitat, No. 17-DCC-181 of November 6, 2017, regarding five operations in the real estate sector in the overseas departments and regions, No. 17-DCC-09 of January 20, 2017, regarding the joint control of a real estate complex by the Caisse des dépôts et consignations and the Artea group, No. 16-DCC-02 of January 11, 2016, regarding the joint control of a real estate asset located in Marseille by the BPCE group and the Caisse des dépôts et consignations, No. 15-DCC-156 of December 7, 2015, regarding the joint control of a real estate asset for office use by Sogecap and Predica, No. 15-DCC-128 of September 21, 2015, regarding the joint control of a real estate asset located in Rennes by the BPCE group and the Caisse des dépôts et consignations, No. 14-DCC-46 of April 1, 2014, regarding the joint control of an industrial real estate asset in Moselle by Norges Bank and Prologis, No. 09-DCC-16 of June 22, 2009, regarding the merger between the Caisse d’Épargne and Banque Populaire groups, as well as the letter from the Minister of Economy, Industry and Employment C2008-79 of August 22, 2008, regarding a concentration in the real estate sector, BOCCRF No. 8 bis of October 23, 2008.  </w:t>
        <w:br/>
        <w:t>2 See the decisions of the European Commission COMP/M.2110 of September 25, 2000, Deutsche Bank / SEI / JV, IV/M.2825 of July 9, 2002, Fortis AG SA / Bernheim-Comofi, SA COMP/M.3370 of March 9, 2004, BNP Paribas/ARI.</w:t>
      </w:r>
    </w:p>
    <w:p>
      <w:r>
        <w:t xml:space="preserve">− real estate promotion, which includes construction and sale activities of real estate;  </w:t>
        <w:br/>
        <w:t xml:space="preserve">− management of real estate assets for own account;  </w:t>
        <w:br/>
        <w:t xml:space="preserve">− management of real estate assets for third parties;  </w:t>
        <w:br/>
        <w:t xml:space="preserve">− administration of real estate, which covers the activities of managing properties on behalf of owners and can be segmented between rental management and co-ownership management;  </w:t>
        <w:br/>
        <w:t xml:space="preserve">− real estate appraisal;  </w:t>
        <w:br/>
        <w:t xml:space="preserve">− real estate consulting;  </w:t>
        <w:br/>
        <w:t xml:space="preserve">− intermediation in real estate transactions, within which a distinction can be made between the sale and rental of properties3.  </w:t>
        <w:br/>
        <w:t xml:space="preserve">9. There is no need to challenge this market delimitation in the context of the present operation.  </w:t>
        <w:br/>
        <w:t xml:space="preserve">B. THE GEOGRAPHICAL MARKETS  </w:t>
        <w:br/>
        <w:t xml:space="preserve">10. According to the aforementioned decisional practice, markets related to the real estate sector are generally of a local dimension, particularly considering the differences between regions and regional metropolises in terms of prices and demand in real estate.  </w:t>
        <w:br/>
        <w:t xml:space="preserve">11. For regions outside Île-de-France, competition authorities have conducted their competitive analyses at the regional or sub-regional level4. In its recent decisions, the Authority has examined the effects of operations at the level of agglomerations5.  </w:t>
        <w:br/>
        <w:t xml:space="preserve">12. In this case, the notifying party considers that for each of the relevant product markets, the relevant geographical market for the competitive analysis of the operation corresponds to the entirety of the territory of La Réunion. Indeed, the public information provided indicates that the competitive conditions and prices observed are relatively homogeneous across the entire territory.  </w:t>
        <w:br/>
        <w:t xml:space="preserve">13. The question of the exact delimitation of the geographical markets concerned by the operation may, however, be left open as the conclusions of the competitive analysis remain unchanged, regardless of the segmentation adopted.  </w:t>
        <w:br/>
        <w:t xml:space="preserve">3 Letter from the Minister of Economy, Finance and Industry C2005-126 of January 25, 2006, regarding a concentration in the real estate services sector.  </w:t>
        <w:br/>
        <w:t xml:space="preserve">4 See, for example, the decision of the Competition Authority No. 19-DCC-204 mentioned above and decision No. 14-DCC-166 of November 13, 2014, regarding the exclusive control by Klépierre SA of Corio NV.  </w:t>
        <w:br/>
        <w:t>5 See, for example, the decision of the Competition Authority No. 19-DCC-204 mentioned above and decision No. 16-DCC-50 of April 7, 2016, regarding the joint control of a real estate asset located in Toulouse by Oppidéa, Immo Retail, and the Caisse des Dépôts et Consignations.</w:t>
      </w:r>
    </w:p>
    <w:p>
      <w:r>
        <w:rPr>
          <w:b/>
        </w:rPr>
        <w:t>[Pages 4–6]</w:t>
      </w:r>
    </w:p>
    <w:p>
      <w:r>
        <w:t xml:space="preserve">III. Competitive Analysis  </w:t>
        <w:br/>
        <w:t xml:space="preserve">14. The activities of the parties overlap in the real estate services markets, primarily in the proprietary management of housing for social use. Indeed, SODIAC is primarily active in the market for proprietary management of housing for social use. In 2017, CDC Habitat entered the capital of six overseas real estate companies (the "SIDOM"), notably acquiring joint control of the Société Immobilière du Département de La Réunion6 (the "SIDR"), which is also active in the market for proprietary management of housing for social use. In 2019, CDC Habitat took exclusive control of SEMADER, which is also active in this sector7.  </w:t>
        <w:br/>
        <w:t xml:space="preserve">15. There is also a vertical link between the activity of financing social housing entrusted by the State to CDC and the market for proprietary management of housing for social use.  </w:t>
        <w:br/>
        <w:t xml:space="preserve">A. ANALYSIS OF HORIZONTAL EFFECTS  </w:t>
        <w:br/>
        <w:t xml:space="preserve">16. In the markets (i) of residential free housing development, (ii) social housing, (iii) development of non-residential real estate, (iv) ownership and proprietary management of residential free housing, (v) proprietary management of offices, (vi) proprietary management of commercial premises, and (vi) proprietary management of real estate assets for other activities, the new entity will hold market shares of less than 25% regardless of the geographical delineation retained.  </w:t>
        <w:br/>
        <w:t xml:space="preserve">17. Given these limited market shares, the operation is not likely to harm competition through horizontal effects in these markets.  </w:t>
        <w:br/>
        <w:t xml:space="preserve">6 See the decision of the Competition Authority No. 17-DCC-181, cited above.  </w:t>
        <w:br/>
        <w:t xml:space="preserve">7 See the decision of the Competition Authority No. 19-DCC-204, cited above.  </w:t>
        <w:br/>
        <w:t xml:space="preserve">18. In the market for proprietary management of housing for social use in La Réunion, the new entity will hold a market share of 49.1%. The market shares of the parties and their main competitors are shown in the table below.  </w:t>
        <w:br/>
        <w:t xml:space="preserve">Number of social housing units Market share  </w:t>
        <w:br/>
        <w:t xml:space="preserve">CDC Habitat 33,933 44.8%  </w:t>
        <w:br/>
        <w:t xml:space="preserve">SODIAC 3,301 4.4%  </w:t>
        <w:br/>
        <w:t xml:space="preserve">Combined parties 37,234 49.1%  </w:t>
        <w:br/>
        <w:t xml:space="preserve">SHLMR 26,023 34.3%  </w:t>
        <w:br/>
        <w:t xml:space="preserve">SEMAC 4,463 5.9%  </w:t>
        <w:br/>
        <w:t xml:space="preserve">SEDRE 4,157 5.5%  </w:t>
        <w:br/>
        <w:t xml:space="preserve">SODEGIS8 3,910 5.2%  </w:t>
        <w:br/>
        <w:t xml:space="preserve">Total 75,789 100%  </w:t>
        <w:br/>
        <w:t xml:space="preserve">19. In the potentially narrower geographic markets of public inter-municipal cooperation establishments (hereinafter, "EPCI"), the market shares will be lower than those observed across the entire territory of La Réunion except in the Northern Intercommunality of La Réunion ("CINOR") where the market share of the new entity will rise to 62.2% (52.5% for CDC and 9.7% for SODIAC).  </w:t>
        <w:br/>
        <w:t xml:space="preserve">20. The new entity will face competition from four other social landlords, notably the Société anonyme d'Habitation à Loyer Modéré de La Réunion ("SHLMR"), which has 26,023 housing units, including 8,658 in the territory of CINOR (representing 34.3% market share across the entire territory of La Réunion and 31.7% in the territory of CINOR).  </w:t>
        <w:br/>
        <w:t xml:space="preserve">Position of the notifying party  </w:t>
        <w:br/>
        <w:t xml:space="preserve">21. Despite the significant market shares it will hold following the operation, CDC Habitat believes that its position in the market for proprietary management of housing for social use in La Réunion will not be likely to generate unilateral effects given the regulation of social housing rents and the obligations to which it will be subject regarding the maintenance of the quality of social housing.  </w:t>
        <w:br/>
        <w:t xml:space="preserve">22. The Construction and Housing Code indeed establishes the general principles governing the setting of rents for housing for social use. In particular, the amount of rent applicable per square meter of housing is limited by a ceiling, which applies not only when setting the initial rent but also at the time of future revisions.  </w:t>
        <w:br/>
        <w:t xml:space="preserve">23. According to the notifying party, the application of the regulation concerning rents for housing for social use would therefore exclude any risk of price increases for tenants.  </w:t>
        <w:br/>
        <w:t xml:space="preserve">24. Furthermore, the notifying party indicates that the agreement made with the State also regulates certain major elements other than price:  </w:t>
        <w:br/>
        <w:t xml:space="preserve">− the asset management and investment policy of the social landlord, notably the strategic orientations related to enhancing the energy performance of the energy-intensive rental stock, the issue of asbestos, and the development of new supply;  </w:t>
        <w:br/>
        <w:t xml:space="preserve">− the commitments of the social landlord regarding social management, in order to ensure, in particular, the diversity of households in occupancy and the reception of disadvantaged households; and  </w:t>
        <w:br/>
        <w:t xml:space="preserve">− the quality of service policy relating notably to accessibility and adaptation to specific audiences, the policy regarding elderly persons (the so-called "senior policy"), the proximity policy, and the control of rental charges.  </w:t>
        <w:br/>
        <w:t xml:space="preserve">25. According to CDC, the agreement would thus ensure that the level of concentration observed following the operation would have little or no impact on prices or the quality of service provided.  </w:t>
        <w:br/>
        <w:t xml:space="preserve">26. Finally, it believes that the operation would not allow the new entity to limit access to applicants for social housing. Indeed, with the creation of a common file of the national registration system ("SNE"), the applicant benefits from a "single window" system allowing them to submit a housing request to a social landlord, which will be shared with all other social landlords. All can thus offer the applicant housing, without the social landlord receiving the request having any right of preference or preemption to propose housing to the applicant.  </w:t>
        <w:br/>
        <w:t xml:space="preserve">27. In light of the above, the notifying party believes that this operation will not be likely to harm competition in the market for the ownership and proprietary management of housing for social use in La Réunion.  </w:t>
        <w:br/>
        <w:t xml:space="preserve">Identification by the Competition Authority of the criteria for competitive analysis  </w:t>
        <w:br/>
        <w:t xml:space="preserve">28. In the context of the examination of this operation, given the position of CDC Habitat in the market for the ownership and proprietary management of housing for social use in La Réunion, the Competition Authority has deepened its analysis of the consequences of the regulation of the social housing sector on the functioning of the market, in the context of interviews with the ministry responsible for housing and market tests conducted with competitors and social tenant associations.  </w:t>
        <w:br/>
        <w:t xml:space="preserve">On the regulatory framework applicable to social housing organizations  </w:t>
        <w:br/>
        <w:t xml:space="preserve">29. Firstly, regarding the choice of the social housing allocator, social landlords are subject to specific rules. Allocation must benefit households under resource conditions, in accordance with Articles L. 441-1 and following, as well as Articles R. 441-1 and following of the Construction and Housing Code.  </w:t>
        <w:br/>
        <w:t xml:space="preserve">30. First, allocations are made based on the analysis of the social housing application files of candidates, recorded in the SNE.  </w:t>
        <w:br/>
        <w:t xml:space="preserve">31. Then, each social landlord is subject to an obligation to house priority households defined by law (households recognized under the right to enforceable housing and the most vulnerable households or those facing particular difficulties in accessing housing). The law provides that the housing allocated to these priority households must represent at least 25% of allocations for each landlord.  </w:t>
        <w:br/>
        <w:t>32. Finally, the allocation of a housing unit is subject to a decision by the housing allocation commission and examination of the occupancy of housing by each landlord, which includes</w:t>
      </w:r>
    </w:p>
    <w:p>
      <w:r>
        <w:rPr>
          <w:b/>
        </w:rPr>
        <w:t>[Pages 7–9]</w:t>
      </w:r>
    </w:p>
    <w:p>
      <w:r>
        <w:t>representatives of the State, the municipality, and tenants. This is the decision-making body regarding the allocation of social housing.</w:t>
      </w:r>
    </w:p>
    <w:p>
      <w:r>
        <w:t>33. Consequently, the allocation of social housing by landlords is governed by a body of rules whose compliance is ensured by public authorities, which prohibits landlords from selecting tenants in a discriminatory manner, regardless of the competitive position of the social landlord in the relevant market. It should therefore be considered that the leeway of social landlords in terms of choosing the recipients of social housing is virtually non-existent.</w:t>
      </w:r>
    </w:p>
    <w:p>
      <w:r>
        <w:t>34. Regarding rents, they are set by rent control agreements (hereinafter "APL agreements") which are concluded between the State and social landlords on a case-by-case basis. They are governed by Article L. 351-2 of the Construction and Housing Code. These agreements specifically set the ceiling rents, which are revised annually on January 1st based on the reference rent index for the second quarter of the previous year. The maximum values of the ceiling rents are set each year. They are differentiated by territory based on the pressure in these territories and by social housing type. The ceiling rents of the APL agreements are subject to modulation based on factors such as the average size of the housing units, the quality of service, and energy performance. The APL agreements therefore constitute a framework that strictly determines the ceiling rent levels for the affected housing.</w:t>
      </w:r>
    </w:p>
    <w:p>
      <w:r>
        <w:t>35. Rents cannot exceed the amounts set by this legal and regulatory framework. However, they can be below these amounts. The Ministry of Housing has indicated that it is regularly observed that social landlords set their rents below the ceilings.</w:t>
      </w:r>
    </w:p>
    <w:p>
      <w:r>
        <w:t>36. Finally, regarding the quality of the social housing service provided by the landlord, the social utility agreements (hereinafter, "CUS") concluded between the State and the landlords provide for quality indicators that focus on production, renovation, management efficiency, and are reinforced in terms of housing allocations, to meet objectives for housing for the most disadvantaged and social mix. Additionally, the mandatory chapter of the CUS includes elements related to the quality of rental management and service to tenants. These commitments specifically address the process for handling tenant complaints, the existence and frequency of a satisfaction survey among tenants, as well as certification or labeling systems regarding service quality obtained by the organization. They also include data on the number of housing units accessible to persons with reduced mobility in the relevant stock or the number of rehabilitated housing units renovated to meet the required energy performance standards.</w:t>
      </w:r>
    </w:p>
    <w:p>
      <w:r>
        <w:t>37. Compliance with the entire constrained framework just described, regarding rents and the quality of the social housing service, is ensured by public authorities, particularly the State, which ensures that social landlords comply with the regulatory and legislative provisions applicable to them, both regarding asset management and housing allocations and rental management. When discrepancies are found, after a contradictory procedure and upon the proposal of the board of directors, administrative sanctions may be proposed by the National Agency for the Control of Social Housing to the Minister responsible for housing.</w:t>
      </w:r>
    </w:p>
    <w:p>
      <w:r>
        <w:t>38. These various elements are therefore likely to compel the parties, once the operation is completed, to maintain a certain standard of quality of the offer proposed to tenants. However, both regarding the level of rents and the quality of services offered to tenants, the applicable regulatory framework sets a reference standard. It is therefore permissible for operators to set housing rents below the ceiling or to offer improved services compared to the quality standard resulting from the CUS, particularly under the influence of pressure exerted by competing operators.</w:t>
      </w:r>
    </w:p>
    <w:p>
      <w:r>
        <w:t>39. Given this situation, the Authority considers that the regulatory framework applicable to the social housing sector is not, by itself, likely to exclude any risk of anti-competitive effects related to the operation.</w:t>
      </w:r>
    </w:p>
    <w:p>
      <w:r>
        <w:t>The effects of limited competitive dynamics due to reduced consumer arbitration capabilities in tense areas</w:t>
      </w:r>
    </w:p>
    <w:p>
      <w:r>
        <w:t>40. Given the specificity of the social housing allocation mechanism, the Competition Authority also questioned the ability of prospective tenants to arbitrate between the offers of social landlords. Indeed, in the absence of such arbitration capability, the market structure would have no consequence on the incentive for social landlords to improve their offer in terms of quality and, to some extent, price, and the operation would therefore have no effect on the relevant market.</w:t>
      </w:r>
    </w:p>
    <w:p>
      <w:r>
        <w:t>41. However, as previously explained, applicants for social housing submit their housing requests through the SNE, which consolidates, within a single file, all applicants for social housing.</w:t>
      </w:r>
    </w:p>
    <w:p>
      <w:r>
        <w:t>42. The Ministry responsible for housing described the functioning of the SNE as follows: "Each request is followed by events that are recorded electronically by shared management and accessible to all landlords. [In principle], if a landlord has offered a housing unit, this will be recorded as an event in the system, and another landlord will not practically offer another housing unit at the same time." However, it emerges from the information gathered during the market test with the competitors of the parties that a candidate for social housing may find themselves in an arbitration situation "in the event that several landlords offer housing to the same candidate from the SNE file." According to the information collected by the Authority from competitors and social tenant associations in La Réunion, while such a situation is possible in so-called "non-tense" areas, it appears significantly less likely in tense areas.</w:t>
      </w:r>
    </w:p>
    <w:p>
      <w:r>
        <w:t>43. Indeed, in particularly "tense" areas, characterized by a significant imbalance between the volume of available supply and demand, an applicant is not incentivized to refuse an offer, as they cannot be certain that a new one will be proposed to them in a timely manner, particularly due to the low availability of housing. Thus, regardless of the competitive situation in tense areas, any arbitration, if it exists, is only marginally guided by considerations related to the quality of the housing offered or its price. In contrast, other constraints specific to the applicant's personal situation, such as the size of the housing or its location, may lead to a refusal.</w:t>
      </w:r>
    </w:p>
    <w:p>
      <w:r>
        <w:t>44. Conversely, such an arbitration situation cannot be excluded in non-tense areas, especially since the refusal of housing following an offer from a social landlord does not necessarily have consequences for future housing allocations.</w:t>
      </w:r>
    </w:p>
    <w:p>
      <w:r>
        <w:t>45. In order to assess the effects of the operation on the market for the ownership and management of social housing in La Réunion, the Competition Authority based its analysis in part on the socio-economic characteristics of the territory in question.</w:t>
      </w:r>
    </w:p>
    <w:p>
      <w:r>
        <w:t>Application in this case</w:t>
      </w:r>
    </w:p>
    <w:p>
      <w:r>
        <w:t>46. Firstly, it emerges from the various elements provided by the notifying party that the territory of La Réunion can be classified as a "tense" territory characterized by a strong imbalance between supply and demand.</w:t>
      </w:r>
    </w:p>
    <w:p>
      <w:r>
        <w:t>47. Thus, the overall tension in the market, calculated from a comparison between the number of pending requests as of December 31 of year N-1 and the number of allocations made during year N, has increased between 2017 and 2018. It stands at 4 for the island of La Réunion and 3.7 for CINOR, the local area in which the new entity will hold a market share exceeding 60% following the operation. The vacancy rate of housing is also very limited, as it was 1.6% in La Réunion and 1.2% for CINOR as of January 1, 2018, while it stands at 3% in mainland France and 3.5% in other overseas departments. As for the vacancy rate exceeding 3 months, it is 0.6% in La Réunion and 0.5% for CINOR, which attests to the near non-existence of unallocated supply.</w:t>
      </w:r>
    </w:p>
    <w:p>
      <w:r>
        <w:t>48. The competitors of the parties involved, as well as the two main social tenant associations, confirmed that the territory of La Réunion could be classified as a tense territory. It notably emerges from the two market tests sent to tenant associations that the average time for allocating a social housing unit is several years and that in the event of a refusal, a tenant must wait on average between 6 months and a year to receive a new proposal.</w:t>
      </w:r>
    </w:p>
    <w:p>
      <w:r>
        <w:t>49. Given this situation, even before the operation analyzed, applicants for social housing in La Réunion are not incentivized to refuse a social housing unit and therefore, ultimately, to arbitrate between several proposals.</w:t>
      </w:r>
    </w:p>
    <w:p>
      <w:r>
        <w:t>50. Secondly, competing operators described the mechanisms for setting rents for social housing. It appears that when rents are set below the ceiling rent, this is explained by the financial situation of the rental candidates and not by the presence of competing operators. Indeed, given the socio-economic profile of social housing applicants, the social landlords in La Réunion interviewed during the investigation unanimously indicated that the contributory capacity of candidates was the main criterion for setting rents, in order to minimize vacancy rates and the risk of unpaid rents. All respondents to the market test sent to competitors excluded any risk of the operation affecting the level of rents.</w:t>
      </w:r>
    </w:p>
    <w:p>
      <w:r>
        <w:t>51. Thirdly, the La Réunion market for the ownership and management of social housing is experiencing significant growth. In 2018, the growth rate of the stock in La Réunion was 5% (between 2,500 and 3,000 new housing units), compared to 1.8% in mainland France. Even though the number of new housing units expected to be delivered in the coming years is set to decrease (around 2,000 to 2,500 housing units for the coming years), the growth rate of the HLM stock in La Réunion will remain high, according to available public information.</w:t>
      </w:r>
    </w:p>
    <w:p>
      <w:r>
        <w:t>52. Such growth in the stock will allow other operators, accredited as social landlords in the territory of La Réunion, the opportunity to expand, without undermining the</w:t>
      </w:r>
    </w:p>
    <w:p>
      <w:r>
        <w:rPr>
          <w:b/>
        </w:rPr>
        <w:t>[Pages 10–12]</w:t>
      </w:r>
    </w:p>
    <w:p>
      <w:r>
        <w:t>52. Such growth of the housing stock will leave other operators, accredited as social landlords in the territory of La Réunion, the opportunity to expand, without undermining the fact that the territory constitutes a tense area. Thus, the position of the new entity is not fixed, as the competitive situation in the concerned territory is likely to evolve in the coming years.</w:t>
      </w:r>
    </w:p>
    <w:p>
      <w:r>
        <w:t>53. The Competition Authority therefore considers that the existing tension on the demand for social housing in the territory of La Réunion, and particularly in that of CINOR, combined with the possibility for operators currently active in the market for the ownership and management of housing for social use in La Réunion to develop their activities in the coming years, allows for the exclusion of any risk of harm to competition through horizontal effects in this case.</w:t>
      </w:r>
    </w:p>
    <w:p>
      <w:r>
        <w:t>B. ANALYSIS OF VERTICAL EFFECTS</w:t>
      </w:r>
    </w:p>
    <w:p>
      <w:r>
        <w:t>54. The Competition Authority has determined that the activity of financing social housing entrusted by the State to the CDC does not constitute a market activity. As such, this activity is not a market concerned by the notified operation.</w:t>
      </w:r>
    </w:p>
    <w:p>
      <w:r>
        <w:t>55. However, insofar as the activity of financing social housing is situated upstream of a competitive market, it is necessary to analyze the risks resulting from the CDC's control over SODIAC downstream, in the markets for the proprietary management of residential buildings for social use.</w:t>
      </w:r>
    </w:p>
    <w:p>
      <w:r>
        <w:t>56.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the products of upstream manufacturers, thereby reducing their commercial outlets.</w:t>
      </w:r>
    </w:p>
    <w:p>
      <w:r>
        <w:t>57. In this case, the CDC could refuse to finance the social housing landlords that compete with SODIAC, or make it more difficult for them to access credit.</w:t>
      </w:r>
    </w:p>
    <w:p>
      <w:r>
        <w:t>58. Decision-making practice generally holds that a risk of vertical or conglomerate effects can be excluded as long as the market share of the company resulting from the operation in the concerned markets does not exceed 30%.</w:t>
      </w:r>
    </w:p>
    <w:p>
      <w:r>
        <w:t>59. In this case, the market share of the new entity exceeds 30% in the downstream market. However, despite these high market shares, the risk of excluding competitors from the new entity in the local markets for the proprietary management of residential buildings for social use can be excluded.</w:t>
      </w:r>
    </w:p>
    <w:p>
      <w:r>
        <w:t>60. Indeed, the CDC grants social landlords loans whose guiding principles are framed by regulatory provisions of the Construction and Housing Code. These loans are offered to landlords under identical financial conditions across the entire territory and without discrimination between borrowers.</w:t>
      </w:r>
    </w:p>
    <w:p>
      <w:r>
        <w:t>61. Regarding the conditions of these loans (and their rates in particular), the CDC is required to grant long-term loans under identical conditions throughout the territory. The rates of the loans are notably indexed to the rate of the resource from which they are financed, in order to achieve a match between the income from these loans and the cost of the resource used. The conditions of the loans are thus subject to a set of regulatory provisions that ensure that, in the granting of loans from the Savings Fund, the CDC does not discriminate between borrowers and that they are treated equally, regardless of their geographical situation or status.</w:t>
      </w:r>
    </w:p>
    <w:p>
      <w:r>
        <w:t>62. Regarding discrimination, any social landlord that meets the accreditation conditions and obtains accreditation from the State is eligible for these regulated loans from the CDC or, for certain types of financing, from a credit institution that has signed a refinancing agreement. Since the CDC does not grant this accreditation, it cannot favor one social landlord over another.</w:t>
      </w:r>
    </w:p>
    <w:p>
      <w:r>
        <w:t>63. In light of the above, the operation is not likely to harm competition through vertical effects in the markets for the proprietary management of residential buildings for social use in La Réunion.</w:t>
      </w:r>
    </w:p>
    <w:p>
      <w:r>
        <w:t>DECIDES</w:t>
      </w:r>
    </w:p>
    <w:p>
      <w:r>
        <w:t>Sole Article: The operation notified under number 20-052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