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https://www.autoritedelaconcurrence.fr/fr/decision-de-controle-des-concentrations/relative-la-prise-de-controle-exclusif-de-lactivite-2</w:t>
      </w:r>
    </w:p>
    <w:p>
      <w:r>
        <w:t>Pages translated : 12</w:t>
      </w:r>
    </w:p>
    <w:p/>
    <w:p>
      <w:r>
        <w:rPr>
          <w:b/>
        </w:rPr>
        <w:t>[Pages 1–3]</w:t>
      </w:r>
    </w:p>
    <w:p>
      <w:r>
        <w:t>FRENCH REPUBLIC</w:t>
        <w:br/>
        <w:t>Decision No. 21-DCC-83 of May 27, 2021</w:t>
        <w:br/>
        <w:t>regarding the exclusive control of the safety instrumentation and control activity of the Rolls-Royce group by Framatome</w:t>
      </w:r>
    </w:p>
    <w:p>
      <w:r>
        <w:t>The Competition Authority,</w:t>
      </w:r>
    </w:p>
    <w:p>
      <w:r>
        <w:t>Having regard to the notification file submitted in full to the merger service on April 20, 2021, concerning the exclusive control of the safety instrumentation and control activity of the Rolls-Royce group by Framatome, formalized by a purchase promise dated June 26, 2020, and by a purchase and sale agreement dated December 4, 2020;</w:t>
      </w:r>
    </w:p>
    <w:p>
      <w:r>
        <w:t>Having regard to Book IV of the Commercial Code relating to price and competition freedom, and in particular its Articles L. 430-1 to L. 430-7;</w:t>
      </w:r>
    </w:p>
    <w:p>
      <w:r>
        <w:t>Having regard to the other documents in the file;</w:t>
      </w:r>
    </w:p>
    <w:p>
      <w:r>
        <w:t>Adopts the following decision:</w:t>
      </w:r>
    </w:p>
    <w:p>
      <w:r>
        <w:t>I. The Companies Involved and the Operation</w:t>
        <w:br/>
        <w:t>1. Framatome, a subsidiary of the Électricité de France group, is active in the design and construction of nuclear reactors (also known as nuclear islands), instrumentation and control systems, and nuclear fuel. It also provides services and products for the maintenance, modernization, and improvement of existing nuclear power plants.</w:t>
        <w:br/>
        <w:t>2. The Électricité de France group (hereinafter, "EDF") is primarily active in electricity markets, notably in production and wholesale sales, trading, transportation, distribution, and supply of electricity in France and abroad. As an electricity producer, the EDF group operates a production fleet based on different energy sources1. In particular, the EDF group operates the entire French nuclear fleet, consisting of 58 pressurized water nuclear reactors.</w:t>
        <w:br/>
        <w:t>3. The target of the operation includes two subsidiaries of the Rolls-Royce group (Rolls-Royce Civil Nuclear and Rolls-Royce International) as well as a set of assets located in China that encompass all the safety instrumentation and control activities of the seller. The instrumentation and control systems ensure the proper functioning of a nuclear power plant and guarantee its safety. They consist of a set of means, systems, and equipment (sensors, visualization and control devices, computers, relays, etc.) that allow for monitoring the state of the nuclear power plant and controlling it.</w:t>
        <w:br/>
        <w:t>4. The notified operation consists of the acquisition by Framatome, a subsidiary of EDF, of the entirety of the target. Following the operation, Framatome will hold exclusive control of the target within the meaning of the provisions relating to the control of concentrations.</w:t>
        <w:br/>
        <w:t>5. The companies involved together generate a total worldwide turnover of more than 150 million euros (EDF Group: 71.3 billion euros for the fiscal year ending December 31, 2019; target: [&lt;150 million] million euros for the fiscal year ending December 31, 2019). Each of these companies generates in France a turnover exceeding 50 million euros (EDF Group: [≥ 50 million] euros for the fiscal year ending December 31, 2019; target: [≥ 50 million] euros for the fiscal year ending December 31, 2019). Given these turnover figures, the operation does not have a European dimension. However, the control thresholds mentioned in I of Article L. 430-2 of the Commercial Code are exceeded. The present operation is therefore subject to the provisions of Articles L. 430-3 and following of the Commercial Code, relating to economic concentration.</w:t>
      </w:r>
    </w:p>
    <w:p>
      <w:r>
        <w:t>II. Definition of Relevant Markets</w:t>
        <w:br/>
        <w:t>6. The companies involved in the operation are simultaneously active in the markets for the supply of safety instrumentation and control systems, notably, in Europe, for nuclear reactors (A). Furthermore, the EDF group, through Framatome, is engaged in the design, construction, and supply of nuclear islands (B). Finally, the EDF group is active in the market for the production and sale of electricity through the operation of nuclear power plants (C).</w:t>
      </w:r>
    </w:p>
    <w:p>
      <w:r>
        <w:t>A. THE MARKET FOR THE SUPPLY OF SAFETY INSTRUMENTATION AND CONTROL SYSTEMS</w:t>
        <w:br/>
        <w:t>7. Instrumentation and control systems are an integral part of any new nuclear power plant project during its construction. They are also subject to maintenance, modernization, and even replacement operations throughout the operational life of the reactor2.</w:t>
      </w:r>
    </w:p>
    <w:p>
      <w:r>
        <w:t>1. PRODUCT MARKETS</w:t>
        <w:br/>
        <w:t>8. The European Commission (hereinafter, "the Commission") has examined the market for safety instrumentation and control systems on various occasions, most recently in the decision regarding EDF's exclusive control of Areva Reactor Business in 20173.</w:t>
      </w:r>
    </w:p>
    <w:p>
      <w:r>
        <w:t>a) Distinction between safety instrumentation and control systems and conventional instrumentation and control systems</w:t>
        <w:br/>
        <w:t>9. In its decision-making practice4, the Commission has identified two distinct markets: (i) that of safety-related instrumentation and control systems, which concern the nuclear island, and (ii) that of conventional instrumentation and control systems, which mainly concern the central island and related operations5. The nuclear island constitutes the "nuclear" part of the plant that generates steam through the nuclear reaction.</w:t>
      </w:r>
    </w:p>
    <w:p>
      <w:r>
        <w:t>10. There is no reason to challenge this practice during the examination of the present operation. Since the target only provides safety instrumentation and control systems, the analysis will be conducted solely on this type of system.</w:t>
      </w:r>
    </w:p>
    <w:p>
      <w:r>
        <w:t>b) Distinction between safety instrumentation and control systems for nuclear power plants and safety instrumentation and control systems for research reactors</w:t>
        <w:br/>
        <w:t>11. The Commission has excluded a segmentation of safety instrumentation and control systems based on the type of nuclear reactor6.</w:t>
      </w:r>
    </w:p>
    <w:p>
      <w:r>
        <w:t>12. However, the notifying party argues that there is a distinction between instrumentation and control systems for nuclear power plant reactors and those intended for research reactors, in that (i) their technical characteristics are significantly different and (ii) the customers and suppliers differ depending on whether the safety instrumentation and control systems are intended for research reactors or nuclear power plants.</w:t>
      </w:r>
    </w:p>
    <w:p>
      <w:r>
        <w:rPr>
          <w:b/>
        </w:rPr>
        <w:t>[Pages 4–6]</w:t>
      </w:r>
    </w:p>
    <w:p>
      <w:r>
        <w:t>13. The question of the distinction between safety instrumentation and control systems for nuclear power plants and safety instrumentation and control systems for research reactors may be left open, insofar as, regardless of the assumption retained, the conclusions of the competitive analysis remain unchanged. In this case, the competitive analysis will be conducted in the most conservative manner, on the one hand, on a market for safety instrumentation and control systems for research reactors, and on the other hand, on a market for instrumentation and control systems for nuclear power plants.</w:t>
      </w:r>
    </w:p>
    <w:p>
      <w:r>
        <w:t>c) Market for the supply of safety instrumentation and control systems and related services</w:t>
      </w:r>
    </w:p>
    <w:p>
      <w:r>
        <w:t>14. In its decision-making practice7, the Commission has considered, while leaving the question open, the existence of a distinct market for the maintenance of instrumentation and control systems. The Commission specified that whether maintenance is provided simultaneously with the equipment or separately depends on the needs of the customers.</w:t>
      </w:r>
    </w:p>
    <w:p>
      <w:r>
        <w:t>15. The parties do not provide maintenance services on third-party safety instrumentation and control systems; they only intervene on their own safety instrumentation and control systems.</w:t>
      </w:r>
    </w:p>
    <w:p>
      <w:r>
        <w:t>16. In this case, the question of whether or not to include maintenance and services may be left open, insofar as, regardless of the assumption retained, the conclusions of the competitive analysis remain unchanged.</w:t>
      </w:r>
    </w:p>
    <w:p>
      <w:r>
        <w:t>d) Distinction between safety instrumentation and control activity and the design and construction of nuclear islands</w:t>
      </w:r>
    </w:p>
    <w:p>
      <w:r>
        <w:t>17. In its decision-making practice8, the Commission has always considered the market for the design and construction of nuclear islands as distinct from that of the supply of instrumentation and control systems, even though there are suppliers of instrumentation and control systems who are also active in the market for the design and manufacture of nuclear islands.</w:t>
      </w:r>
    </w:p>
    <w:p>
      <w:r>
        <w:t>18. There is no reason to challenge this practice during the examination of the present operation. The analysis will thus be conducted on the market for safety instrumentation and control systems.</w:t>
      </w:r>
    </w:p>
    <w:p>
      <w:r>
        <w:t>2. GEOGRAPHICAL MARKETS</w:t>
      </w:r>
    </w:p>
    <w:p>
      <w:r>
        <w:t>19. In its decision-making practice9, the Commission has left open the question of whether the geographical dimension of the market for safety instrumentation and control systems covers the European Economic Area (hereinafter "EEA") or whether it has a global dimension.</w:t>
      </w:r>
    </w:p>
    <w:p>
      <w:r>
        <w:t>20. However, the question of the exact dimension of this market may be left open, insofar as, regardless of the assumption retained, the conclusions of the competitive analysis will remain unchanged. Thus, the analysis will be conducted at the EEA level and at the global level.</w:t>
      </w:r>
    </w:p>
    <w:p>
      <w:r>
        <w:t xml:space="preserve">7 Commission, COMP/M.7764 cited above, para 111 and COMP/M.1940 cited above, para 106.  </w:t>
        <w:br/>
        <w:t xml:space="preserve">8 Commission, COMP/M.7764 cited above, para 117; COMP/M.4839 – Areva NP/MHI/ATMEA of October 29, 2007 in which the market for IN did not include the market for I&amp;C; COMP/M.4153 cited above in which IN and I&amp;C constituted distinct markets; COMP/M.1940 – Framatome/Siemens/Cogéma/JV, para 106 in which it is indeed mentioned that the supply of I&amp;C is an integral part of new plants, but distinguished this market as a separate market for I&amp;C systems.  </w:t>
        <w:br/>
        <w:t>9 Commission, COMP/M.7764 cited above, para 122; COMP/M.7850 cited above, para 67; COMP/M.4153 cited above, para 46; COMP/M.1940 cited above, para 117.</w:t>
      </w:r>
    </w:p>
    <w:p>
      <w:r>
        <w:t>B. THE MARKET FOR THE DESIGN AND CONSTRUCTION OF NUCLEAR ISLANDS</w:t>
      </w:r>
    </w:p>
    <w:p>
      <w:r>
        <w:t>1. PRODUCT MARKET</w:t>
      </w:r>
    </w:p>
    <w:p>
      <w:r>
        <w:t>21. A nuclear power plant is mainly composed of a nuclear part, the nuclear island10, and a conventional island11. Framatome designs and manufactures nuclear islands.</w:t>
      </w:r>
    </w:p>
    <w:p>
      <w:r>
        <w:t>22. In its decision-making practice, the Commission has identified a distinct product market concerning the design and construction of nuclear islands12. Furthermore, the Commission considered that it was not relevant to segment by type of reactors (technology), by size, or by generation of reactors13.</w:t>
      </w:r>
    </w:p>
    <w:p>
      <w:r>
        <w:t>23. There is no reason to challenge this practice during the examination of the present operation. Thus, the analysis will be conducted on the market for the design and construction of nuclear islands.</w:t>
      </w:r>
    </w:p>
    <w:p>
      <w:r>
        <w:t>2. GEOGRAPHICAL MARKET</w:t>
      </w:r>
    </w:p>
    <w:p>
      <w:r>
        <w:t>24. In its decision-making practice14, the Commission has considered that the market for the design and manufacture of nuclear islands has a global dimension. However, it conducted its analysis taking into account different assumptions: (i) a global market, (ii) a global market excluding countries subject to export restrictions, and (iii) a global market excluding countries subject to export restrictions and countries that only source from their national supplier (i.e. Japan, Russia, South Korea, France, Canada). The Commission ultimately left the exact geographical definition of the market for the design and construction of nuclear islands open.</w:t>
      </w:r>
    </w:p>
    <w:p>
      <w:r>
        <w:t>25. In any case, the question of the exact geographical delimitation of this market may be left open, insofar as, regardless of the assumption retained, the conclusions of the competitive analysis will remain unchanged.</w:t>
      </w:r>
    </w:p>
    <w:p>
      <w:r>
        <w:t>C. THE MARKET FOR THE PRODUCTION AND WHOLESALE SALE OF ELECTRICITY</w:t>
      </w:r>
    </w:p>
    <w:p>
      <w:r>
        <w:t>1. PRODUCT MARKET</w:t>
      </w:r>
    </w:p>
    <w:p>
      <w:r>
        <w:t>26. The Authority15, like the Commission16, has identified a market for the production and wholesale sale of electricity, which includes, on the supply side, not only electricity produced by power plants but also electricity imports into France via interconnections, without distinguishing between different sources of electricity production. Producers and importers sell electricity wholesale to operators supplying final consumers, to traders, or to large industrial customers.</w:t>
      </w:r>
    </w:p>
    <w:p>
      <w:r>
        <w:t>27. There is no reason to challenge this practice during the examination of the present operation. The competitive analysis will thus be conducted on the market for the production and wholesale sale of electricity, on which the EDF group is active.</w:t>
      </w:r>
    </w:p>
    <w:p>
      <w:r>
        <w:t>2. GEOGRAPHICAL MARKET</w:t>
      </w:r>
    </w:p>
    <w:p>
      <w:r>
        <w:t>28. In its decision-making practice, the Commission has left open the question of the geographical dimension of the market for the production and wholesale sale of electricity. However, it conducted its competitive analyses at the national level, due to the weakness of interconnections between Member States17. The Authority18 also considered that this market was at most national.</w:t>
      </w:r>
    </w:p>
    <w:p>
      <w:r>
        <w:t>29. In this market, EDF is present in France, Belgium, Greece, Italy, Poland, and the United Kingdom, as well as, to a marginal extent, in Bulgaria, Germany, Hungary, the Netherlands, and Spain.</w:t>
      </w:r>
    </w:p>
    <w:p>
      <w:r>
        <w:t>30. In this case, the question of the exact dimension of the market for the production and wholesale sale of electricity may be left open, with the conclusions of the competitive analysis remaining unchanged, regardless of the assumption retained. The competitive analysis will be conducted at the national level, in the most conservative manner.</w:t>
      </w:r>
    </w:p>
    <w:p>
      <w:r>
        <w:t>III. Competitive Analysis</w:t>
      </w:r>
    </w:p>
    <w:p>
      <w:r>
        <w:t>31. The operation entails a horizontal overlap between the activities of the parties in the market for the supply of safety instrumentation and control systems (A). It also entails vertical effects between the target's activity in safety instrumentation and control systems and the other activities of the EDF group in the markets for the design and construction of nuclear islands, as well as in the markets for the production and wholesale sale of electricity (B).</w:t>
      </w:r>
    </w:p>
    <w:p>
      <w:r>
        <w:t>A. ANALYSIS OF HORIZONTAL EFFECTS</w:t>
      </w:r>
    </w:p>
    <w:p>
      <w:r>
        <w:t>32. Given the limited market share of the new entity in the market for safety instrumentation and control systems for research reactors at the EEA level (less than 20%), any risk of harm to competition through horizontal effects can be ruled out in this market.</w:t>
      </w:r>
    </w:p>
    <w:p>
      <w:r>
        <w:t>33. The present analysis of the effects of the operation will thus focus solely on safety instrumentation and control systems intended for nuclear power plants.</w:t>
      </w:r>
    </w:p>
    <w:p>
      <w:r>
        <w:rPr>
          <w:b/>
        </w:rPr>
        <w:t>[Pages 7–9]</w:t>
      </w:r>
    </w:p>
    <w:p>
      <w:r>
        <w:t>1. ANALYSIS METHOD</w:t>
        <w:br/>
        <w:t>34. The parties are simultaneously active in the market for safety instrumentation and control systems19, which operates notably through tenders.</w:t>
        <w:br/>
        <w:t>35. According to the guidelines of the Competition Authority regarding the control of concentrations, "the nature of the existing relationships between suppliers and buyers is likely to influence the market power of the new entity, making the examined market more or less fluid. Thus, the number of transactions in which the new entity is involved, the terms of negotiation of these contracts (tenders or private agreements), the frequency of contract renewals, the exclusive or selective nature of the networks in which the products concerned by the operation are distributed, or the duration of the contracts are all relevant elements for the Authority to assess the effects of a concentration"20.</w:t>
        <w:br/>
        <w:t>36. National decision-making practice21 has notably noted that, in the specific case of markets operating through tenders, considering market shares for the purpose of competitive analysis may prove to be irrelevant or insufficient to assess the effects of the operation22. In particular, the Authority considers that a high market share does not necessarily reflect significant market power when the tender mechanism in question exhibits all the following characteristics: (i) a single buyer wins the entire contract for which there is competition, (ii) the size of the contract is significant and thus represents a substantial stake for the companies participating in the tender, (iii) in the tender, the probability of success is independent of the results of past tenders launched for the considered network, or for other networks; (iv) there are no barriers to entry into the market.</w:t>
        <w:br/>
        <w:t>37. According to the notifying party, market shares only reflect the activity of companies that have won a tender, and not the competitive pressure exerted by companies that did not win a tender. Market shares have been calculated based on currently installed systems and take into account projects in the EEA that have been subject to a tender in the last 15 years for nuclear power plant construction projects, and the last 10 years for modernization projects. Therefore, market shares do not account for the competitive pressure exerted by players who participated in tenders but did not win a project during the relevant period.</w:t>
        <w:br/>
        <w:t>38. The notifying party explains that, in the context of tenders, it is the clients who invite suppliers to participate in their tender, even before sending the documentation related to the tender. During an initial phase, the client will select the candidates it deems qualified to respond to its project. Thus, the effective participation of a supplier in the tender is sufficient to confirm that its offer is credible and that it is considered a serious alternative by the client. This is enough to justify its presence and pressure in the market, even if it has not won a project during the relevant period.</w:t>
        <w:br/>
        <w:t>19 The notifying party proposed to consider additional segmentations and admitted to being in a monopoly position in a potential "packages" market of essential subsystems at the EEA level.</w:t>
        <w:br/>
        <w:t>20 Guidelines of the Competition Authority regarding the control of concentrations, point 596.</w:t>
        <w:br/>
        <w:t>21 See in particular the Authority's decision No. 21-DCC-71 of April 28, 2021, regarding the exclusive control of Suez RV Osis by the Rational Sanitation and Pumping Company, para 65 et seq.</w:t>
        <w:br/>
        <w:t>22 See the Authority's decision No. 10-DCC-198 of December 30, 2010, regarding the creation of a joint venture by Veolia Environment and the Caisse des Dépôts et Consignations, point 76.</w:t>
      </w:r>
    </w:p>
    <w:p>
      <w:r>
        <w:t>39. According to the notifying party, given the relatively long lifespan of safety instrumentation and control systems, tenders are relatively rare and involve large-scale projects. Thus, the awarding of a single tender can significantly shift market shares.</w:t>
        <w:br/>
        <w:t>40. Furthermore, it does not appear that there are any real barriers to entry for suppliers of safety instrumentation and control systems wishing to enter the European market, and according to respondents to the market test, it seems that the results of tenders are independent of past tenders.</w:t>
        <w:br/>
        <w:t>41. However, the investigation revealed that not all contracts are systematically concluded following a tender. An analysis based solely on tenders would thus not capture the entirety of the market for safety instrumentation and control systems.</w:t>
        <w:br/>
        <w:t>42. In light of these elements, the level of market shares of the new entity as well as the past participation in tenders by other operators are elements to be taken into account to assess the market power of the new entity.</w:t>
        <w:br/>
        <w:t>2. ANALYSIS</w:t>
        <w:br/>
        <w:t>43. In the market for safety instrumentation and control systems for nuclear power plants, at the global level, the cumulative market share estimated by the parties to the operation would be 40.7%. At the EEA level, excluding intra-group sales from Framatome to EDF, the cumulative market share estimated by the parties would rise to 90%.</w:t>
        <w:br/>
        <w:t>44. Based solely on market share levels, the risk of harm to competition cannot be ruled out in the market for safety instrumentation and control systems. It is therefore necessary to examine whether there are factors likely to constrain the behavior of the new entity.</w:t>
        <w:br/>
        <w:t>45. As a preliminary matter, it should be noted that the competitive proximity of the parties, prior to the operation, is limited. Thus, over the past fifteen years, four projects23 for the construction of nuclear power plants have resulted in a tender in the EEA: Framatome and Rolls Royce have competed in only two projects24. For these two projects, the Korean supplier Doosan was also invited and deemed eligible to submit an offer for the supply of a safety instrumentation and control system.</w:t>
        <w:br/>
        <w:t>46. Over the past ten years, three modernization projects for safety instrumentation and control systems of nuclear power plants have resulted in a tender. Framatome and Rolls Royce did not compete for any of these projects.</w:t>
        <w:br/>
        <w:t>47. It follows that Framatome and the target assets have not been systematically put in competition during the last tenders concerning safety instrumentation and control systems, which tends to indicate that their respective competitive positions are relatively different.</w:t>
        <w:br/>
        <w:t>48. The assessment of the effects of the operation also requires taking into account the current and potential competitors present in the market, as well as the countervailing power of buyers.</w:t>
        <w:br/>
        <w:t>23 In Slovakia (two projects) in 2008 and 2010, in Finland in 2020, and in Hungary in 2020.</w:t>
        <w:br/>
        <w:t>24 Those in Finland and Hungary.</w:t>
      </w:r>
    </w:p>
    <w:p>
      <w:r>
        <w:t>Current and Potential Competition</w:t>
        <w:br/>
        <w:t>49. In a market for safety instrumentation and control systems, limited to the EEA, where the market share of the new entity is 90%, the remaining 10% is held by the Canadian company AECL25. However, the examination of past tenders at the EEA level shows that there are other credible operators likely to compete with the new entity, noting that, as indicated in paragraph 38 of this decision, clients themselves select the operators that can respond to their tenders.</w:t>
        <w:br/>
        <w:t>50. For example, in 2020, a nuclear power plant operator in Finland that had selected Framatome's offer for a construction project had deemed that Doosan, a competing operator located in South Korea, was eligible to submit an offer. Doosan had also responded to a tender for the extension of a Hungarian nuclear power plant. Similarly, in 2010, a Swedish operator had deemed that Westinghouse, a competing operator based in the United States, was also eligible in the context of a modernization project of a system.</w:t>
        <w:br/>
        <w:t>51. Westinghouse26 has indeed supplied a number of safety instrumentation and control systems for various reactors in the EEA before 2006. Framatome is currently competing with Westinghouse for a modernization project in Switzerland.</w:t>
        <w:br/>
        <w:t>52. Furthermore, CTEC, a Chinese operator and subsidiary of the Chinese nuclear industrial group CGN, has been selected to provide safety instrumentation and control systems, which were not subject to an open tender, in the United Kingdom, where CGN supplies two reactors of Chinese technology.</w:t>
        <w:br/>
        <w:t>53. In addition, the new entity could also be subject to competitive pressure from Radyi, which is a Ukrainian designer and supplier of safety instrumentation and control systems. It supplies the safety instrumentation and control systems of Ukrainian nuclear power plants and has recently been chosen, according to the notifying party, to provide a "safety device actuation system" as part of a modernization project for a Bulgarian nuclear power plant.</w:t>
        <w:br/>
        <w:t>54. It follows from these elements that, following the operation, buyers of safety instrumentation and control systems will continue to have alternatives to the new entity, notably consisting of the groups AECL, Doosan, Westinghouse, and CTEC. Clients surveyed in the context of the market test also estimated that the groups General Electric and Siemens could meet their needs for safety instrumentation and control systems.</w:t>
      </w:r>
    </w:p>
    <w:p>
      <w:r>
        <w:t>The Reaction Capabilities of the Clients of the New Entity</w:t>
        <w:br/>
        <w:t>55. When analyzing the non-coordinated effects of a horizontal operation, the Competition Authority analyzes the purchasing power of the clients of the new entity, which alone can constitute a sufficient countervailing power to discipline the commercial behavior of a company that holds a significant position in a market.</w:t>
        <w:br/>
        <w:t>56. The Authority's guidelines thus indicate that: "[t]he number and degree of concentration of the clients or suppliers of the new entity are important parameters for estimating its market power. Indeed, the more concentrated the clients or suppliers are, the less the new entity will be able to disregard their demands and behave autonomously" and "[t]he market power of a company can be</w:t>
      </w:r>
    </w:p>
    <w:p>
      <w:r>
        <w:rPr>
          <w:b/>
        </w:rPr>
        <w:t>[Pages 10–12]</w:t>
      </w:r>
    </w:p>
    <w:p>
      <w:r>
        <w:t>effectively limited by the purchasing power or, more generally, the bargaining power of buyers, provided that alternatives remain”27.</w:t>
      </w:r>
    </w:p>
    <w:p>
      <w:r>
        <w:t>57. Similarly, the Commission considers that “competitive pressures on a supplier can be exerted not only by competitors but also by customers. Even companies with very high market shares may find themselves unable, after a concentration, to significantly impede effective competition and, in particular, to act largely independently of their customers, if the latter have compensating purchasing power”28.</w:t>
      </w:r>
    </w:p>
    <w:p>
      <w:r>
        <w:t>58. In this case, according to the notifying party, in the market for safety instrumentation and control systems, customers, namely nuclear power plant operators, have significant compensating purchasing power.</w:t>
      </w:r>
    </w:p>
    <w:p>
      <w:r>
        <w:t>59. Indeed, demand is concentrated. It is limited to operators of nuclear power plants and suppliers of nuclear islands that do not have their own safety instrumentation and control solutions in Europe. This represents nine current or potential customers over the period 2005-2035, and only three potential customers for the next fifteen years (2021-2035) in […]29, in […]30 and […]31.</w:t>
      </w:r>
    </w:p>
    <w:p>
      <w:r>
        <w:t>60. Consequently, the number of projects is also limited: according to the notifying party, five “at most” modernization projects are expected over the next fifteen years, and no construction projects. The analysis of the notifying party's internal documentation reveals that the size of the market is shrinking. This trend is expected to continue in the coming years due to political decisions to phase out civil nuclear power, as in Germany or Belgium, and the increasing vertical integration of suppliers of safety instrumentation and control systems and nuclear islands. Thus, each response to a tender represents a major stake for suppliers of safety instrumentation and control systems, which enhances the intensity of competition among players.</w:t>
      </w:r>
    </w:p>
    <w:p>
      <w:r>
        <w:t>61. Furthermore, as stated above, customers organize complex tenders that allow for competition among the various players in this market. In particular, customers pre-select the suppliers invited to participate in the tender, which allows them to benefit from an initial leverage in negotiations with suppliers.</w:t>
      </w:r>
    </w:p>
    <w:p>
      <w:r>
        <w:t>62. In conclusion, the new entity will remain, after the operation, subject to the compensating purchasing power of customers.</w:t>
      </w:r>
    </w:p>
    <w:p>
      <w:r>
        <w:t>***</w:t>
      </w:r>
    </w:p>
    <w:p>
      <w:r>
        <w:t>63. It follows from the above that the operation is not likely to harm competition, through horizontal effects, in the market for safety instrumentation and control systems for nuclear power plants.</w:t>
      </w:r>
    </w:p>
    <w:p>
      <w:r>
        <w:t xml:space="preserve">27 Guidelines of the Competition Authority regarding merger control, 2020, paras. 590 and 661.  </w:t>
        <w:br/>
        <w:t xml:space="preserve">28 Commission, Guidelines on the assessment of horizontal concentrations under the Council Regulation on the control of concentrations between enterprises, para. 64.  </w:t>
        <w:br/>
        <w:t xml:space="preserve">29 […].  </w:t>
        <w:br/>
        <w:t xml:space="preserve">30 […].  </w:t>
        <w:br/>
        <w:t>31 […].</w:t>
      </w:r>
    </w:p>
    <w:p>
      <w:r>
        <w:t>B. ANALYSIS OF VERTICAL EFFECTS</w:t>
      </w:r>
    </w:p>
    <w:p>
      <w:r>
        <w:t>64. A vertical concentration can restrict competition by making access to the markets in which the new entity will operate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65. In this case, the acquirer engages in the design and construction of nuclear islands as well as the production and wholesale sale of electricity, which are downstream of the market for safety instrumentation and control systems. Indeed, manufacturers of nuclear islands require such systems, and electricity producers operating nuclear power plants must ensure the maintenance and upkeep, or even modernization, of their safety instrumentation and control systems.</w:t>
      </w:r>
    </w:p>
    <w:p>
      <w:r>
        <w:t>66. The market shares of the new entity amount to 90% at the EEA level and 40% globally regarding safety instrumentation and control systems. They are below 10% for the design and construction of nuclear islands at the global level and below 20% in the various national markets for the production and wholesale sale of electricity in which EDF is present, except in France where this market share is [60-70]% in capacity and [80-90]% in volume.</w:t>
      </w:r>
    </w:p>
    <w:p>
      <w:r>
        <w:t>Market shares 2019 of the EDF group for the production and wholesale sale of electricity</w:t>
      </w:r>
    </w:p>
    <w:p>
      <w:r>
        <w:t xml:space="preserve">Market shares in  </w:t>
        <w:br/>
        <w:t xml:space="preserve">Countries Market shares in volume  </w:t>
        <w:br/>
        <w:t xml:space="preserve">capacity  </w:t>
        <w:br/>
        <w:t xml:space="preserve">France [80-90]% [60-70]%  </w:t>
        <w:br/>
        <w:t xml:space="preserve">United Kingdom [10-20]% [10-20]%  </w:t>
        <w:br/>
        <w:t xml:space="preserve">Italy [5-10]% [5-10]%  </w:t>
        <w:br/>
        <w:t xml:space="preserve">Belgium [5-10]% [5-10]%  </w:t>
        <w:br/>
        <w:t xml:space="preserve">Greece [0-5]% [0-5]%  </w:t>
        <w:br/>
        <w:t xml:space="preserve">Netherlands [0-5]% [0-5]%  </w:t>
        <w:br/>
        <w:t xml:space="preserve">Portugal [0-5]% [0-5]%  </w:t>
        <w:br/>
        <w:t xml:space="preserve">Germany [0-5]% [0-5]%  </w:t>
        <w:br/>
        <w:t>Poland [0-5]% [0-5]%</w:t>
      </w:r>
    </w:p>
    <w:p>
      <w:r>
        <w:t>67. Decision-making practice generally considers that a risk of harming competition through vertical effects can be ruled out, provided that the market shares of the company resulting from the operation in the relevant markets do not exceed 30%32.</w:t>
      </w:r>
    </w:p>
    <w:p>
      <w:r>
        <w:t>68. In this case, any risk of harming competition through vertical effects can be ruled out.</w:t>
      </w:r>
    </w:p>
    <w:p>
      <w:r>
        <w:t>69. Indeed, firstly, the new entity will not have the ability to lock suppliers of safety instrumentation and control systems out of the customer base, as its downstream market shares are limited, whether in the market for the design and construction of nuclear islands or in the market for the production and wholesale sale of electricity (below 10% in the global market for the design and construction of nuclear islands and below 20% in the various national markets for the production and wholesale sale of electricity, except in France). Regarding the specific case of the French market, EDF is the only operator of nuclear power plants in France and, as such, the only buyer of safety instrumentation and control systems. It was already fully supplied, either directly from its subsidiary Framatome or from the target. Furthermore, the notifying party specified […]. The operation is therefore not likely to alter the structure of competition in France.</w:t>
      </w:r>
    </w:p>
    <w:p>
      <w:r>
        <w:t>70. Secondly, the new entity will not have the ability to lock out designers and builders of nuclear islands as well as operators of nuclear power plants from the market for safety instrumentation and control systems. Indeed, as previously demonstrated, there are alternative suppliers of safety instrumentation and control systems to the new entity. Moreover, the small number of buyers of safety instrumentation and control systems gives them strong bargaining power with respect to their suppliers. Additionally, some designers and suppliers of nuclear islands, such as Westinghouse, General Electric-Hitachi, or AECL, are vertically integrated and provide their own safety instrumentation and control systems. Similarly, operators of nuclear power plants, for example in the Czech Republic or Slovakia, are also vertically integrated and can therefore use their own safety instrumentation and control systems.</w:t>
      </w:r>
    </w:p>
    <w:p>
      <w:r>
        <w:t>71. Finally, a degradation in the quality of safety instrumentation and control services does not appear likely, as this activity is subject to specific nuclear safety regulations controlled by safety authorities, such as the Nuclear Safety Agency in France.</w:t>
      </w:r>
    </w:p>
    <w:p>
      <w:r>
        <w:t>72. In light of the above, the operation is not likely to harm competition through vertical effects between the markets for safety instrumentation and control systems, on the one hand, and those for the design and construction of nuclear islands as well as the production and wholesale sale of electricity, on the other hand.</w:t>
      </w:r>
    </w:p>
    <w:p>
      <w:r>
        <w:t>DECIDES</w:t>
      </w:r>
    </w:p>
    <w:p>
      <w:r>
        <w:t>Sole Article: The operation notified under number 20-167 is authorized.</w:t>
      </w:r>
    </w:p>
    <w:p>
      <w: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