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https://www.autoritedelaconcurrence.fr/fr/decision-de-controle-des-concentrations/relative-la-prise-de-controle-exclusif-de-lactivite-cuivre</w:t>
      </w:r>
    </w:p>
    <w:p>
      <w:r>
        <w:t>Pages translated : 5</w:t>
      </w:r>
    </w:p>
    <w:p/>
    <w:p>
      <w:r>
        <w:rPr>
          <w:b/>
        </w:rPr>
        <w:t>[Pages 1–3]</w:t>
      </w:r>
    </w:p>
    <w:p>
      <w:r>
        <w:t xml:space="preserve">FRENCH REPUBLIC  </w:t>
        <w:br/>
        <w:t xml:space="preserve">Decision No. 14-DCC-163 of November 14, 2014  </w:t>
        <w:br/>
        <w:t xml:space="preserve">regarding the exclusive control of the copper activity  </w:t>
        <w:br/>
        <w:t>of Reynolds European SA by Genecos</w:t>
      </w:r>
    </w:p>
    <w:p>
      <w:r>
        <w:t xml:space="preserve">The Competition Authority,  </w:t>
        <w:br/>
        <w:t xml:space="preserve">Having regard to the notification file submitted in full to the merger service on October 14, 2014, regarding the exclusive control of the copper activity of Reynolds European SA by Genecos, formalized by a business transfer deed signed on October 13, 2014;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transaction  </w:t>
        <w:br/>
        <w:t xml:space="preserve">1. Genecos SA (hereinafter "Genecos") is a subsidiary of Hellenic Cables and Halcor1, both of which are controlled by Viohalco SA2, the parent company of the Viohalco group (hereinafter "Viohalco"). Viohalco operates through its subsidiaries in the manufacturing of steel products, aluminum-based products, and copper and copper alloy products that are sold in more than 60 countries. Genecos, the representative of Viohalco in France, sells metallurgical products, and more specifically aluminum and copper products.  </w:t>
        <w:br/>
        <w:t xml:space="preserve">2. Reynolds European is a subsidiary of the German group Klöckner &amp; Co. It is active in the trading of metals for industrial use and specializes particularly in the distribution of non-ferrous semi-finished products (aluminum, copper, and brass) mainly on French territory.  </w:t>
        <w:br/>
        <w:t xml:space="preserve">3. According to the terms of the transfer deed signed on October 13, 2014, between Genecos and Reynolds European, Genecos will acquire the entirety of the business assets related to the trading and brokerage activity of copper and copper derivative products from Reynolds European (hereinafter "target business assets"). Reynolds European retains the rest of its commercial activities (aluminum and brass for screw machining).  </w:t>
        <w:br/>
        <w:t xml:space="preserve">4. As it results in the exclusive control of Reynolds European's copper activity by Genecos, the notified operation thus constitutes a concentration within the meaning of Article L. 430-1 of the Commercial Code.  </w:t>
        <w:br/>
        <w:t>5. The companies concerned together achieve a total worldwide turnover of more than 150 million euros (Viohalco: 2.9 billion euros for the fiscal year ending December 31, 2013; target business assets: […] euros for the same fiscal year). Each achieves a turnover in France exceeding 50 million euros (Viohalco: 137 million euros for the fiscal year 2013; target business assets: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6. In the metallurgical products sector, the decisional practice distinguishes steel products from products derived from non-ferrous metals. Within non-ferrous metals, it identifies as many distinct markets as there are types of metal3.  </w:t>
        <w:br/>
        <w:t xml:space="preserve">7. In this case, the copper markets are the only ones concerned by the transaction as the target business assets only market copper products.  </w:t>
        <w:br/>
        <w:t xml:space="preserve">8. The decisional practice of the European Commission4 distinguishes several stages in the copper production chain. After extraction, copper ore is enriched in facilities that produce copper concentrates. The concentrates obtained and copper waste (recycled material) are then used to produce flat pieces measuring approximately one meter by one meter, the cathodes, which allow for the production of copper bars and shapes (billets and slabs) that are transformed into semi-finished products. There are several semi-finished products (copper tubes, copper laminates, enameled wires and flat wires, etc.) that are used in various economic sectors (electrical engineering, electronics industry, construction industry, telecommunications, automotive industry,  </w:t>
        <w:br/>
        <w:t xml:space="preserve">3 See letter C2005-27 of June 29, 2005, from the Minister of Economy, Finance and Industry to the boards of Klöckner Distribution Industrielle SA regarding a concentration in the metallurgical products distribution sector and the decisions of the European Commission COMP/M.4505 Freeport-McMoran Copper &amp; Gold/Phelps Dodge Corporation of February 20, 2007, COMP/M.4781 Norddeutsche Affinerie/Cumerio of January 23, 2008, COMP/M.6316 Aurubis/Luvata Rolled Products of August 8, 2011, and COMP/M.6541 Glencore/Xstrata of November 22, 2012.  </w:t>
        <w:br/>
        <w:t>4 See in particular the decisions of the European Commission COMP/M.4505 Freeport-McMoran Copper &amp; Gold/Phelps Dodge Corporation, COMP/M.4781 Norddeutsche Affinerie/Cumerio, COMP/M.6316 Aurubis/Luvata Rolled Products, and COMP/M.6541 Glencore/Xstrata mentioned above.</w:t>
      </w:r>
    </w:p>
    <w:p>
      <w:r>
        <w:t xml:space="preserve">construction of machines). The decisional practice has left the question of the delimitation of semi-finished copper product markets open5.  </w:t>
        <w:br/>
        <w:t xml:space="preserve">9. Viohalco manufactures copper bars and shapes which it then transforms into semi-finished products. These include copper laminates, enameled wires and flat wires, as well as various ranges of copper tubes intended for the sanitary, air conditioning, medical markets, or various industrial applications. These products are either sold directly by the group's subsidiaries or through distributors specialized in the marketing of metallurgical products.  </w:t>
        <w:br/>
        <w:t xml:space="preserve">10. Furthermore, the decisional practice of the European Commission and the French competition authorities6 distinguishes production and direct sales from marketing. It indeed considers that the distribution of steel products differs from production and direct sales per se by the diversity of its customers, by the lower amount of its orders, by its ability to respond quickly to customer needs, by the local nature of the activity, and by the significant number of companies present in the sector.  </w:t>
        <w:br/>
        <w:t xml:space="preserve">11. Regarding marketing, it retains a segmentation between trading which involves holding a significant range of products in stock and commercial agency and trading activities which consist only of representation activities that do not require, unlike trading, to finance stocks.  </w:t>
        <w:br/>
        <w:t xml:space="preserve">12. Viohalco manufactures and sells semi-finished copper products directly while the target business assets are involved in (i) trading copper laminates, (ii) trading copper tubes for sanitary and heating use, (iii) commercial agency and trading of tubes for industrial, medical, and air conditioning/refrigeration (hereinafter "ACR") use in copper, and (iv) commercial agency and trading of enameled wires and flat wires.  </w:t>
        <w:br/>
        <w:t xml:space="preserve">13. Regarding the geographical delimitation of the semi-finished copper product markets, the decisional practice7 has considered that it extends at least to the European Economic Area ("EEA") and may even have a global dimension. More specifically regarding the different modes of marketing metallurgical products (trading, commercial agency, and trading), the European Commission and the French competition authorities8 have retained a market of at least national dimension.  </w:t>
        <w:br/>
        <w:t xml:space="preserve">14. In this case, there is no need to conclude on the precise delimitation of these markets, as the competitive analysis remains unchanged regardless of the solution adopted.  </w:t>
        <w:br/>
        <w:t xml:space="preserve">5 See in particular the aforementioned decisions of the European Commission COMP/M.4781 Norddeutsche Affinerie/Cumerio and COMP/M.6316 Aurubis/Luvata Rolled Products of August 8, 2011.  </w:t>
        <w:br/>
        <w:t xml:space="preserve">6 See the aforementioned letter C2005-27 of June 29, 2005, and the decision of the European Commission No. IV/CECA.1268 of February 4, 1999, Usinor/Cockerill Sambre.  </w:t>
        <w:br/>
        <w:t xml:space="preserve">7 See in particular the decisions of the European Commission COMP/M.4505 Freeport-McMoran Copper &amp; Gold/Phelps Dodge Corporation, COMP/M.4781 Norddeutsche Affinerie/Cumerio, COMP/M.6316 Aurubis/Luvata Rolled Products, and COMP/M.6541 Glencore/Xstrata mentioned above.  </w:t>
        <w:br/>
        <w:t>8 See the aforementioned letter C2005-27 of June 29, 2005, and the aforementioned decision of the European Commission No. IV/CECA.1268.</w:t>
      </w:r>
    </w:p>
    <w:p>
      <w:r>
        <w:rPr>
          <w:b/>
        </w:rPr>
        <w:t>[Pages 4–5]</w:t>
      </w:r>
    </w:p>
    <w:p>
      <w:r>
        <w:t xml:space="preserve">III. Competitive Analysis  </w:t>
        <w:br/>
        <w:t xml:space="preserve">15. The transaction results in a horizontal activity overlap only in the scenario where a market encompassing all types of sales of semi-finished copper products is considered (direct sales or through an independent distributor)9. On the market, the share of the new entity would remain below 20% with a limited increment of less than 5%, regardless of the segment considered.  </w:t>
        <w:br/>
        <w:t xml:space="preserve">16. In the scenario of distinguishing between direct sales activities and marketing to independent distributors, the transaction involves the acquisition by Viohalco of the copper semi-finished products marketing activity of Reynolds European, of which it is the main supplier10. It is therefore necessary to examine whether the transaction is likely to harm competition through vertical effects.  </w:t>
        <w:br/>
        <w:t xml:space="preserve">17.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The decisional practice of competition authorities generally considers that the risks of lock-in are unlikely when the share of the company resulting from the transaction in the relevant markets does not exceed 30%.  </w:t>
        <w:br/>
        <w:t xml:space="preserve">18. In this case, in the upstream markets for the production and direct sale of semi-finished copper products, the notifying party estimates that, regardless of the segmentation considered, Viohalco's market share (Halcor and its subsidiaries) is always below 10%. In the downstream markets for the marketing of copper-based products, the notifying party estimates that, regardless of the segment considered, the market share of the target business assets is always below [10-20]%. The target business assets thus represent [10-20]% of the trading of copper tubes for sanitary and heating use, [10-20]% of the trading of copper laminates, [5-10]% of the commercial agency and trading activity of tubes for industrial, medical, and ACR use in copper, and [5-10]% of the commercial agency and trading activity of enameled wires and flat wires.  </w:t>
        <w:br/>
        <w:t xml:space="preserve">19. Given the low level of market shares upstream and downstream, Viohalco's competing manufacturers will continue to have alternative outlets with independent distributors other than the target business assets, and the competing distributors of the latter will continue to have alternative suppliers.  </w:t>
        <w:br/>
        <w:t xml:space="preserve">20. In light of the above, the transaction is not likely to harm competition.  </w:t>
        <w:br/>
        <w:t xml:space="preserve">9 The activity overlap only concerns the sale of copper tubes for industrial, medical, and ACR use and copper and copper/brass alloy laminates. The overlap is indeed marginal for sales of copper tubes for sanitary and heating use and non-existent for sales of enameled wires and flat wires.  </w:t>
        <w:br/>
        <w:t>10 The target business assets generate approximately 42% of their turnover by sourcing from the Viohalco group.</w:t>
      </w:r>
    </w:p>
    <w:p>
      <w:r>
        <w:t xml:space="preserve">DECIDES  </w:t>
        <w:br/>
        <w:t xml:space="preserve">Sole Article: The transaction notified under number 14-159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