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https://www.autoritedelaconcurrence.fr/fr/decision-de-controle-des-concentrations/relative-la-prise-de-controle-exclusif-de-lactivite-de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26-DCC-130 of June 11, 2026</w:t>
        <w:br/>
        <w:t>regarding the exclusive control acquisition of the bumper supply activity of the company Flex-N-Gate Maubeuge by the Renault group</w:t>
        <w:br/>
        <w:t>The Competition Authority,</w:t>
        <w:br/>
        <w:t>Having regard to the complete notification file sent to the mergers department on May 26, 2026, concerning the exclusive control acquisition of the bumper supply activity of the company Flex-N-Gate Maubeuge by the Renault group, formalized by a letter of intent signed on December 4, 2025;</w:t>
        <w:br/>
        <w:t>Having regard to Book IV of the Commercial Code relating to the freedom of prices and competition, and in particular its Articles L. 430-1 to L. 430-7;</w:t>
        <w:br/>
        <w:t>Adopts the following decision:</w:t>
        <w:br/>
        <w:t>1. The notified operation consists of the acquisition by the Renault group, via the company Ampere ElectriCity, of a business asset for the supply of bumpers operated by Flex-N-Gate Maubeuge at the site of Feignies (59). The operation constitutes a concentration, within the meaning of Article L. 430-1 of the Commercial Code. Given the revenues generated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26-122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