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https://www.autoritedelaconcurrence.fr/fr/decision-de-controle-des-concentrations/relative-la-prise-de-controle-exclusif-de-lactivite-gmpa</w:t>
      </w:r>
    </w:p>
    <w:p>
      <w:r>
        <w:t>Pages translated : 6</w:t>
      </w:r>
    </w:p>
    <w:p/>
    <w:p>
      <w:r>
        <w:rPr>
          <w:b/>
        </w:rPr>
        <w:t>[Pages 1–3]</w:t>
      </w:r>
    </w:p>
    <w:p>
      <w:r>
        <w:t xml:space="preserve">FRENCH REPUBLIC  </w:t>
        <w:br/>
        <w:t xml:space="preserve">Decision No. 19-DCC-217 of November 25, 2019  </w:t>
        <w:br/>
        <w:t>regarding the exclusive control of the GMPA Prévoyance activity of Allianz by the AGPM group</w:t>
      </w:r>
    </w:p>
    <w:p>
      <w:r>
        <w:t xml:space="preserve">The Competition Authority,  </w:t>
        <w:br/>
        <w:t xml:space="preserve">Having regard to the notification file submitted, complete to the merger service on October 18, 2019, regarding the exclusive control of the GMPA Prévoyance activity of Allianz by the AGPM group, formalized by a negotiation agreement dated October 17, 2019;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The AGPM group (hereinafter "AGPM") is a French mutual insurance group comprising, in particular, two mutual insurance companies: AGPM Vie and AGPM Assurances. AGPM currently markets a wide range of personal and property insurance products to all types of clients throughout France. It has 42 agencies in France.  </w:t>
        <w:br/>
        <w:t xml:space="preserve">2. GMPA Prévoyance (hereinafter "GMPA") is the complementary provident activity of the Allianz group. It consists in particular of the portfolio of complementary provident contracts "GMPA Prévoyance" subscribed to Allianz Vie and Allianz IARD by the GMPA association and its members, as well as the tangible and intangible assets necessary for the exercise of this activity. GMPA also includes the ancillary activity of distributing other insurance products currently carried out by the personnel marketing the GMPA Prévoyance contracts, whose employment contracts will be transferred to AGPM.  </w:t>
        <w:br/>
        <w:t>3. The operation, formalized by a negotiation agreement dated October 17, 2019, consists of the transfer to AGPM of the portfolio of complementary provident contracts of the GMPA Prévoyance activity of Allianz. Insofar as it results in the exclusive control of the GMPA Prévoyance activity of Allianz by AGPM, the notified operation constitutes a concentration within the meaning of Article L. 430-1 of the Commercial Code.</w:t>
      </w:r>
    </w:p>
    <w:p>
      <w:r>
        <w:t>4. The companies concerned together achieved a consolidated worldwide turnover excluding taxes of more than 150 million euros (AGPM: [≥ 150 million] euros for the fiscal year ending December 31, 2018; GMPA: [≤ 150 million] euros for the same fiscal year). Each of these companies achieved a turnover in France exceeding 50 million euros (AGPM: [≥ 50 million] euros for the fiscal year ending December 31, 2018; GMPA: [≥ 50 million] euros for the same fiscal year). Given these turnovers,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5. The parties are simultaneously active in the upstream markets for insurance products and in the markets for the distribution of insurance products on behalf of third parties.  </w:t>
        <w:br/>
        <w:t xml:space="preserve">A. UPSTREAM MARKETS FOR INSURANCE PRODUCTS  </w:t>
        <w:br/>
        <w:t xml:space="preserve">6. The decisional practice distinguishes, consistently, between the markets for personal insurance, property insurance (goods and liabilities), and reinsurance.  </w:t>
        <w:br/>
        <w:t xml:space="preserve">7. Regarding the first two categories of products, competition authorities have determined that they can be segmented into as many markets as there are insurances covering different types of risks, insofar as, from the demand perspective, insurances covering these different risks are not substitutable.  </w:t>
        <w:br/>
        <w:t xml:space="preserve">8. Concerning the market for personal insurance, an additional segmentation can be made between collective insurance contracts, concluded between an insurer and a subscriber distinct from the beneficiary, and individual insurance contracts for which the subscriber is also the beneficiary.  </w:t>
        <w:br/>
        <w:t xml:space="preserve">9. In this case, AGPM and GMPA are both active in the personal insurance sector, and more specifically, in the market for collective provident insurance.  </w:t>
        <w:br/>
        <w:t>10. Regarding the geographical delimitation of the markets, with the exception of certain insurances covering large-scale risks, the markets for insurance products have been considered to be of national dimension, taking into account consumer preferences, the existence of national legislation and tax constraints, the current structure of these markets, or the regulatory systems concerning this sector.</w:t>
      </w:r>
    </w:p>
    <w:p>
      <w:r>
        <w:t xml:space="preserve">11. The question of the exact definition of insurance product markets can be left open insofar as, regardless of the delineation adopted, the conclusions of the competitive analysis remain unchanged.  </w:t>
        <w:br/>
        <w:t xml:space="preserve">B. MARKETS FOR THE DISTRIBUTION OF INSURANCE PRODUCTS ON BEHALF OF THIRD PARTIES  </w:t>
        <w:br/>
        <w:t xml:space="preserve">12. The distribution of insurance products on behalf of third parties involves marketing and ensuring the administrative management of guarantees or insurance contracts where the risk is borne by third-party insurers. Competition authorities, both European and national, have left open the question of the precise delineation of markets in this sector, with several segmentations being considered.  </w:t>
        <w:br/>
        <w:t xml:space="preserve">13. A broad market for the distribution of insurance products by independent intermediaries, including all distribution channels (agents, brokers, and other intermediaries such as banks), except for direct distribution by insurance companies, has thus been identified by decisional practice. A market limited to insurance brokerage and including only this distribution channel has also been considered.  </w:t>
        <w:br/>
        <w:t xml:space="preserve">14. The markets for the distribution of insurance products can also be segmented based on the category of insured risks (property insurance and personal insurance) and according to the clientele (businesses or individuals).  </w:t>
        <w:br/>
        <w:t xml:space="preserve">15. In this case, AGPM and GMPA are simultaneously active in the market for the distribution through all channels of insurance products on behalf of third parties. They distribute both property and personal insurance products.  </w:t>
        <w:br/>
        <w:t xml:space="preserve">16. Regarding their geographical delimitations, the markets for the distribution of insurance products on behalf of third parties have been considered essentially to be of national dimension.  </w:t>
        <w:br/>
        <w:t>17. The question of the exact definition of the markets for the distribution of insurance products on behalf of third parties can be left open insofar as, regardless of the delineation adopted, the conclusions of the competitive analysis remain unchanged.</w:t>
      </w:r>
    </w:p>
    <w:p>
      <w:r>
        <w:rPr>
          <w:b/>
        </w:rPr>
        <w:t>[Pages 4–6]</w:t>
      </w:r>
    </w:p>
    <w:p>
      <w:r>
        <w:t xml:space="preserve">III. Competitive Analysis  </w:t>
        <w:br/>
        <w:t xml:space="preserve">A. HORIZONTAL EFFECTS  </w:t>
        <w:br/>
        <w:t xml:space="preserve">1. ON THE UPSTREAM MARKETS FOR INSURANCE PRODUCTS  </w:t>
        <w:br/>
        <w:t xml:space="preserve">18. In the national markets for personal insurance, the market share of the new entity will be less than 2%, regardless of the segmentation used. The new entity will continue to face competitive pressure from several players, particularly the groups Axa France, Crédit Agricole Assurances, AG2R La Mondiale, Groupama, Malakoff-Médéric, and Groupe Vyv.  </w:t>
        <w:br/>
        <w:t xml:space="preserve">19. Consequently, the operation is not likely to harm competition through horizontal effects on the upstream markets for insurance products.  </w:t>
        <w:br/>
        <w:t xml:space="preserve">2. ON THE MARKETS FOR THE DISTRIBUTION OF INSURANCE PRODUCTS ON BEHALF OF THIRD PARTIES  </w:t>
        <w:br/>
        <w:t xml:space="preserve">20. In the national markets for the distribution of insurance products on behalf of third parties, the market share of the new entity will be less than 1%, regardless of the segmentation used. The new entity will continue to face competitive pressure from all insurers distributing products from other insurers, specialized agents and brokers, as well as players from other sectors such as, in particular, banks, large retail, and car dealerships.  </w:t>
        <w:br/>
        <w:t xml:space="preserve">21. Consequently, the operation is not likely to harm competition through horizontal effects on the markets for the distribution of insurance products on behalf of third parties.  </w:t>
        <w:br/>
        <w:t xml:space="preserve">B. VERTICAL EFFECTS  </w:t>
        <w:br/>
        <w:t xml:space="preserve">22.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the decisional practice generally considers that a risk of vertical effect can be ruled out as long as the market share of the company resulting from the operation in the relevant markets does not exceed 30%.  </w:t>
        <w:br/>
        <w:t xml:space="preserve">23. In this case, the notifying party estimates that the combined market share of the parties is less than 2% at the national level in the upstream markets for insurance products, and less than 1% at the national level in the markets for the distribution of insurance products on behalf of third parties, regardless of the segmentations used.  </w:t>
        <w:br/>
        <w:t>24. Consequently, the operation is not likely to harm competition through vertical effects in the relevant markets.</w:t>
      </w:r>
    </w:p>
    <w:p>
      <w:r>
        <w:t xml:space="preserve">IV. Ancillary Restrictions  </w:t>
        <w:br/>
        <w:t xml:space="preserve">25. The negotiation agreement concluded between the parties contains two clauses that may restrict competition that will occur between the parties in the insurance product markets. It is therefore necessary to assess to what extent such provisions constitute ancillary restrictions "directly related and necessary to the realization of the operation."  </w:t>
        <w:br/>
        <w:t xml:space="preserve">A. NON-COMPETITION CLAUSE  </w:t>
        <w:br/>
        <w:t xml:space="preserve">26. Under Article 2 of the negotiation agreement, Allianz commits to [confidential]. This clause is therefore akin to a non-competition clause on the part of the seller, for a specific category of clients.  </w:t>
        <w:br/>
        <w:t xml:space="preserve">27. As specified by the guidelines of the Authority, the communication from the European Commission regarding restrictions directly related and necessary to the realization of concentration operations published on March 5, 2005, can serve as a guide to the Authority in assessing such restrictions within the framework of national concentration control. This communication indicates that non-competition clauses "may be directly related and necessary to the realization of the concentration." However, it specifies that they are only justified to the extent that their duration, territorial scope, and material scope do not exceed what is reasonably necessary. Thus, "non-competition clauses are justified for periods not exceeding three years when the sale of the business includes customer loyalty in the form of both the commercial fund and know-how."  </w:t>
        <w:br/>
        <w:t xml:space="preserve">28. In this case, the agreement concluded between the parties prohibits the seller from [confidential] for a duration of [&gt; 3] years. Given the duration of this prohibition, it does not constitute a restriction directly related and necessary to the realization of the concentration.  </w:t>
        <w:br/>
        <w:t xml:space="preserve">B. REINSURANCE CLAUSE  </w:t>
        <w:br/>
        <w:t xml:space="preserve">29. Under Article 3 of the negotiation agreement, AGPM commits, in exchange for the acquisition of the target activity, to have a quota share reinsured by Allianz, for a duration not exceeding […] years, a set of contracts [confidential]. This provision therefore creates, on the part of the acquirer, an obligation to purchase reinsurance services from the seller.  </w:t>
        <w:br/>
        <w:t xml:space="preserve">30. The aforementioned communication states that purchase obligations "may aim to ensure the continuity of supply of one or the other of the parties in products necessary for the activities retained by the seller or taken over by the acquirer." It specifies that their duration must be limited to 5 years and that "obligations, both for delivery and purchase concerning fixed quantities, possibly accompanied by an evolving clause, are recognized as directly related and necessary to the realization of the concentration. Obligations concerning the supply of indeterminate quantities, providing for exclusivity or granting a privileged status to the supplier or buyer, are, on the other hand, not necessary for the realization of the operation."  </w:t>
        <w:br/>
        <w:t xml:space="preserve">31. In this case, the agreement concluded between the parties provides for a reinsurance obligation with Allianz for a potential duration of [&gt; 5] years (which is well beyond the maximum duration identified in the aforementioned communication from the Commission), for an indeterminate quantity of products. Given these two elements, this clause does not constitute a restriction directly related and necessary to the realization of the concentration.  </w:t>
        <w:br/>
        <w:t xml:space="preserve">DECIDES  </w:t>
        <w:br/>
        <w:t xml:space="preserve">Sole Article: The operation notified under number 19-205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