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https://www.autoritedelaconcurrence.fr/fr/decision-de-controle-des-concentrations/relative-la-prise-de-controle-exclusif-de-lactivite-support</w:t>
      </w:r>
    </w:p>
    <w:p>
      <w:r>
        <w:t>Pages translated : 5</w:t>
      </w:r>
    </w:p>
    <w:p/>
    <w:p>
      <w:r>
        <w:rPr>
          <w:b/>
        </w:rPr>
        <w:t>[Pages 1–3]</w:t>
      </w:r>
    </w:p>
    <w:p>
      <w:r>
        <w:t xml:space="preserve">FRENCH REPUBLIC  </w:t>
        <w:br/>
        <w:t xml:space="preserve">Decision No. 15-DCC-02 of January 22, 2015  </w:t>
        <w:br/>
        <w:t>regarding the exclusive control of the user support and workstation activities of the companies Atos A2B and Atos Infogérance by Proservia WorkStation Services</w:t>
      </w:r>
    </w:p>
    <w:p>
      <w:r>
        <w:t xml:space="preserve">The Competition Authority,  </w:t>
        <w:br/>
        <w:t xml:space="preserve">Having regard to the notification file submitted in full to the merger service on December 16, 2014, regarding the exclusive control of the user support and workstation activities of the companies Atos A2B and Atos Infogérance by Proservia WorkStation Services, formalized by a letter of intent dated July 11, 2014, and its two amendments dated September 5 and November 4, 2014;  </w:t>
        <w:br/>
        <w:t xml:space="preserve">Having regard to Book IV of the Commercial Code relating to price freedom and competition, and in particular its Articles L. 430-1 to L. 430-10;  </w:t>
        <w:br/>
        <w:t xml:space="preserve">Having regard to the supplementary elements transmitted by the parties during the investigation;  </w:t>
        <w:br/>
        <w:t>Adopts the following decision:</w:t>
      </w:r>
    </w:p>
    <w:p>
      <w:r>
        <w:t xml:space="preserve">I. The concerned companies and the operation  </w:t>
        <w:br/>
        <w:t xml:space="preserve">1. Proservia WorkStation Services (hereinafter "Proservia WSS") is a 100% subsidiary of Proservia, which is itself controlled by Manpower France Holding SAS. Manpower France Holding SAS is the parent company of the American Manpower group in France. The group, listed on the New York Stock Exchange, operates in the employment services sector (permanent or temporary staffing, skills assessment, vocational training, outsourcing, and consulting), as well as in the IT services sector, particularly in France through the Proservia group acquired in 2011.  </w:t>
        <w:br/>
        <w:t xml:space="preserve">2. The companies Atos Infogérance and Atos A2B operate in the field of IT services and systems, notably by providing their clients with outsourcing and managed services including user and workstation support services either on the client site or remotely. The shares of the company Atos A2B are wholly owned by Atos Infogérance, which is itself controlled by Atos SE, the parent company of the Atos group whose shares are listed on Euronext.  </w:t>
        <w:br/>
        <w:t xml:space="preserve">3. Under the terms of the letter of intent dated July 11, 2014, and two amendments signed on September 5 and November 4, 2014, Manpower Holding France is to acquire part of the business assets of the companies Atos A2B and Atos Infogérance, corresponding to their user and workstation support activities in mainland France. The main elements transferred as part of the operation are several client contracts and the employment contracts of the employees assigned to the target activities.  </w:t>
        <w:br/>
        <w:t xml:space="preserve">4. Insofar as it results in the exclusive control of asset elements constituting an activity to which a turnover can be attached, the notified operation constitutes a concentration within the meaning of Article L. 430-1 of the Commercial Code.  </w:t>
        <w:br/>
        <w:t>5. The concerned companies together achieve a total worldwide turnover of more than 150 million euros (Manpower group: 14.71 billion euros for the fiscal year ending December 31, 2013; target activities: […] euros for the same fiscal year). Each of them achieves, in France, a turnover exceeding 50 million euros (Manpower group: 4 billion euros for the fiscal year ending December 31, 2013; target activities: […] euros for the same fiscal year). Given these turnover figures,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6. The parties to the operation are simultaneously active in the IT services sector.  </w:t>
        <w:br/>
        <w:t xml:space="preserve">A. PRODUCT MARKETS  </w:t>
        <w:br/>
        <w:t xml:space="preserve">7. The decision-making practice, both European and national, has already had the opportunity to rule on the delimitation of the relevant markets in the IT services sector. However, it has left open, in each case, the exact delineation of the relevant markets.  </w:t>
        <w:br/>
        <w:t xml:space="preserve">8. It has thus identified, within the IT services market, seven functional categories of services: (i) global management services also known as "outsourcing" or "systems management services," which include operational services, applied management, technical support management, business continuity, asset management, outsourcing, and scalable leasing; (ii) enterprise management services also known as "process management" or "business process outsourcing" (BPO); (iii) software development and integration, consisting of developing existing software based on specific client requirements; (iv) consulting services, which include technical services on network architecture, planning, or project management assistance; (v) software maintenance and logistical support; (vi) maintenance of IT hardware and logistical support; and (vii) teaching and training.  </w:t>
        <w:br/>
        <w:t xml:space="preserve">9. Various alternative or complementary segmentations have also been considered according to:  </w:t>
        <w:br/>
        <w:t xml:space="preserve">- the type of clientele, SMEs or large accounts;  </w:t>
        <w:br/>
        <w:t xml:space="preserve">- the types of information and communication systems: (i) management application systems, which include IT services used to fulfill a horizontal function within companies or administrations; (ii) scientific and technical industrial embedded application systems; (iii) generic application systems; (iv) IT infrastructure systems; and (v) communication infrastructure and enterprise network systems;  </w:t>
        <w:br/>
        <w:t xml:space="preserve">- the sector of activity, namely: (i) communications, (ii) education, (iii) energy and local networks, (iv) financial services, (v) public sector, (vi) health, (vii) industry, (viii) commerce and distribution, (ix) services, and (x) transport.  </w:t>
        <w:br/>
        <w:t xml:space="preserve">10. There is no need to resolve the question of the precise delimitation of the IT services markets, as the conclusions of the competitive analysis remain unchanged, regardless of the segmentations retained.  </w:t>
        <w:br/>
        <w:t xml:space="preserve">11. The activities of the parties overlap in two functional categories, namely global management services and maintenance of IT hardware and logistical support. They both target a clientele consisting of large companies. Furthermore, the target assets and Manpower concurrently provide services that fall under generic application systems, IT infrastructure systems, and communication infrastructure and enterprise network systems. Finally, they are both present in the markets for IT services aimed at the following sectors: communications, financial services, public sector, and industry.  </w:t>
        <w:br/>
        <w:t xml:space="preserve">B. GEOGRAPHICAL MARKETS  </w:t>
        <w:br/>
        <w:t>12. Competition authorities have, on several occasions, determined that the markets for IT services are of national dimension, notably due to the necessity for the</w:t>
      </w:r>
    </w:p>
    <w:p>
      <w:r>
        <w:rPr>
          <w:b/>
        </w:rPr>
        <w:t>[Pages 4–5]</w:t>
      </w:r>
    </w:p>
    <w:p>
      <w:r>
        <w:t>service providers to regularly communicate in the language of their clients and to maintain a relative proximity with them. However, they have noted a certain internationalization of supply and demand.</w:t>
      </w:r>
    </w:p>
    <w:p>
      <w:r>
        <w:t>13. There is no need to revisit this national market delineation on the occasion of the present operation.</w:t>
      </w:r>
    </w:p>
    <w:p>
      <w:r>
        <w:t>III. Competitive Analysis</w:t>
      </w:r>
    </w:p>
    <w:p>
      <w:r>
        <w:t>14. The notifying party estimated the global market for IT services at approximately […] euros in France in 2013. The market share of the parties would be [0-5]% for the divested assets and approximately [0-5]% for the Manpower group, resulting in a combined market share of [0-5]%.</w:t>
      </w:r>
    </w:p>
    <w:p>
      <w:r>
        <w:t>15. In the functional segment of global management services, the parties estimate their market share at [0-5]% for the divested assets and approximately [0-5]% for the Manpower group, resulting in a combined market share of [0-5]%. Similarly, in the functional segment of IT equipment maintenance and logistical support, the parties estimate their market share at [0-5]% for the divested assets and approximately [0-5]% for the Manpower group, resulting in a combined market share of [0-5]%.</w:t>
      </w:r>
    </w:p>
    <w:p>
      <w:r>
        <w:t>16. In the segment of services for large accounts, the parties estimate their market share at [0-5]% for the divested assets and [0-5]% for the Manpower group, resulting in a combined market share of [0-5]%.</w:t>
      </w:r>
    </w:p>
    <w:p>
      <w:r>
        <w:t>17. In the event of segmentation by type of information and communication systems, the new entity would hold a market share of less than [0-5]% in each of the potential segments where the divested assets and the Manpower group are simultaneously present.</w:t>
      </w:r>
    </w:p>
    <w:p>
      <w:r>
        <w:t>18. Finally, in the event of segmentation by industry sector, the new entity would hold a market share of less than [0-5]% in each of the markets where the divested assets and the Manpower group are simultaneously present.</w:t>
      </w:r>
    </w:p>
    <w:p>
      <w:r>
        <w:t>19. Therefore, the operation is not likely to harm competition in the relevant IT services markets.</w:t>
      </w:r>
    </w:p>
    <w:p>
      <w:r>
        <w:t>DECIDE</w:t>
      </w:r>
    </w:p>
    <w:p>
      <w:r>
        <w:t>Sole Article: The operation notified under number 14-228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