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https://www.autoritedelaconcurrence.fr/fr/decision-de-controle-des-concentrations/relative-la-prise-de-controle-exclusif-de-lactivite-telecom</w:t>
      </w:r>
    </w:p>
    <w:p>
      <w:r>
        <w:t>Pages translated : 2</w:t>
      </w:r>
    </w:p>
    <w:p/>
    <w:p>
      <w:r>
        <w:rPr>
          <w:b/>
        </w:rPr>
        <w:t>[Pages 1–2]</w:t>
      </w:r>
    </w:p>
    <w:p>
      <w:r>
        <w:t xml:space="preserve">FRENCH REPUBLIC  </w:t>
        <w:br/>
        <w:t xml:space="preserve">Decision No. 20-DCC-171 of December 4, 2020  </w:t>
        <w:br/>
        <w:t xml:space="preserve">regarding the exclusive control acquisition of Sade CGTH's telecom activity by Montefiore Investment  </w:t>
        <w:br/>
        <w:t xml:space="preserve">The Competition Authority,  </w:t>
        <w:br/>
        <w:t xml:space="preserve">Having regard to the complete notification file submitted to the mergers department on November 16, 2020, concerning the exclusive control acquisition of the telecom activity of Sade CGTH by Montefiore Investment, formalized by a share purchase agreement dated November 6, 2020;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Montefiore Investment of the telecom activity of Sade CGTH in the sector of providing electrical engineering services in telecommunications. It constitutes a concentration operation within the meaning of Article L. 430-1 of the Commercial Code. Given the revenues generated by the companies concerned, the operation does not fall under the jurisdiction of the European Union. On the other hand, the retail trade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20-231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