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https://www.autoritedelaconcurrence.fr/fr/decision-de-controle-des-concentrations/relative-la-prise-de-controle-exclusif-de-lassociation</w:t>
      </w:r>
    </w:p>
    <w:p>
      <w:r>
        <w:t>Pages translated : 11</w:t>
      </w:r>
    </w:p>
    <w:p/>
    <w:p>
      <w:r>
        <w:rPr>
          <w:b/>
        </w:rPr>
        <w:t>[Pages 1–3]</w:t>
      </w:r>
    </w:p>
    <w:p>
      <w:r>
        <w:t xml:space="preserve">FRENCH REPUBLIC  </w:t>
        <w:br/>
        <w:t xml:space="preserve">Decision No. 20-DCC-114 of August 28, 2020  </w:t>
        <w:br/>
        <w:t xml:space="preserve">regarding the exclusive control of the association Arpavie by the  </w:t>
        <w:br/>
        <w:t xml:space="preserve">Caisse des dépôts et consignations  </w:t>
        <w:br/>
        <w:t xml:space="preserve">The Competition Authority,  </w:t>
        <w:br/>
        <w:t xml:space="preserve">Having regard to the notification file submitted in full to the merger service on July 29, 2020,  </w:t>
        <w:br/>
        <w:t xml:space="preserve">regarding the exclusive control of the association Arpavie by the Caisse des dépôts et  </w:t>
        <w:br/>
        <w:t xml:space="preserve">consignations, formalized by the resignation letters of two of the founding members of  </w:t>
        <w:br/>
        <w:t xml:space="preserve">the association Arpavie dated May 27 and June 3, 2020, and by the draft amended statutes;  </w:t>
        <w:br/>
        <w:t xml:space="preserve">Having regard to Book IV of the Commercial Code relating to the freedom of prices and  </w:t>
        <w:br/>
        <w:t xml:space="preserve">competition, and in particular its Articles L. 430-1 to L. 430-7;  </w:t>
        <w:br/>
        <w:t xml:space="preserve">Having regard to the supplementary elements transmitted by the notifying party during the  </w:t>
        <w:br/>
        <w:t xml:space="preserve">investigation;  </w:t>
        <w:br/>
        <w:t xml:space="preserve">Adopts the following decision:  </w:t>
        <w:br/>
        <w:t xml:space="preserve">I. The concerned companies and the operation  </w:t>
        <w:br/>
        <w:t xml:space="preserve">1. The Caisse des dépôts et consignations (hereinafter, the "CDC") is a public institution, governed  </w:t>
        <w:br/>
        <w:t xml:space="preserve">by Articles L. 518-2 and following of the Monetary and Financial Code, which fulfills  </w:t>
        <w:br/>
        <w:t xml:space="preserve">missions of general interest in support of public policies conducted by the State and local  </w:t>
        <w:br/>
        <w:t xml:space="preserve">authorities (deposits on savings accounts that finance social rental housing and urban  </w:t>
        <w:br/>
        <w:t xml:space="preserve">renewal, regulated deposits and consignments, pensions, and social security treasuries). The  </w:t>
        <w:br/>
        <w:t xml:space="preserve">CDC carries out, notably through its subsidiaries CDC Habitat and Icade, activities open to  </w:t>
        <w:br/>
        <w:t xml:space="preserve">competition that are grouped around four poles: (i) the environment, (ii) real estate, (iii)  </w:t>
        <w:br/>
        <w:t xml:space="preserve">investment and private equity, and (iv) services. Established by the law of April 28, 1816, the  </w:t>
        <w:br/>
        <w:t xml:space="preserve">CDC is placed "under the supervision and guarantee of the legislative authority," this mode of  </w:t>
        <w:br/>
        <w:t xml:space="preserve">governance being intended to ensure the autonomy of this institution which manages private  </w:t>
        <w:br/>
        <w:t xml:space="preserve">funds requiring special protection.  </w:t>
        <w:br/>
        <w:t xml:space="preserve">2. Arpavie is a non-profit association created by the merger of the Association of Residences for  </w:t>
        <w:br/>
        <w:t xml:space="preserve">Elderly Persons (AREPA), the Association of Residences and Shelters (AREFO), and the  </w:t>
        <w:br/>
        <w:t xml:space="preserve">Association of Residences for Dependent Elderly Persons (ARPAD)1. Prior to the operation,  </w:t>
        <w:br/>
        <w:t>1 The creation of the association Arpavie was authorized by the Competition Authority (decision No. 16-DCC-38 dated March 10, 2016).</w:t>
      </w:r>
    </w:p>
    <w:p>
      <w:r>
        <w:t xml:space="preserve">none of the members of the association is able to exercise alone or jointly a decisive  </w:t>
        <w:br/>
        <w:t xml:space="preserve">influence over the association Arpavie. The latter's main purpose is the study and  </w:t>
        <w:br/>
        <w:t xml:space="preserve">implementation of assistance and support solutions, particularly in the social and  </w:t>
        <w:br/>
        <w:t xml:space="preserve">medico-social fields, for elderly and aging disabled persons, whether autonomous, losing  </w:t>
        <w:br/>
        <w:t xml:space="preserve">autonomy, or dependent. The association operates in France 45 residential care facilities for  </w:t>
        <w:br/>
        <w:t xml:space="preserve">dependent elderly persons (hereinafter "EHPAD"), which represents approximately 3,400  </w:t>
        <w:br/>
        <w:t xml:space="preserve">residents, 79 independent living residences, which represents approximately 5,000 residents,  </w:t>
        <w:br/>
        <w:t xml:space="preserve">a serviced residence for seniors, and a home nursing care service.  </w:t>
        <w:br/>
        <w:t xml:space="preserve">3. By two letters dated May 27, 2020, and June 3, 2020, the representatives of Seqens and  </w:t>
        <w:br/>
        <w:t xml:space="preserve">Action Logement Immobilier declared their resignation from their positions as founding  </w:t>
        <w:br/>
        <w:t xml:space="preserve">members and directors of Arpavie, subject to the authorization by the Competition Authority  </w:t>
        <w:br/>
        <w:t xml:space="preserve">of the exclusive control of Arpavie by the CDC. Following the entry into force of these  </w:t>
        <w:br/>
        <w:t xml:space="preserve">resignations, the statutes of the association will be amended to take into account the  </w:t>
        <w:br/>
        <w:t xml:space="preserve">withdrawal of two of the founding members and members of right on the board of directors2.  </w:t>
        <w:br/>
        <w:t xml:space="preserve">Under the amended statutes, the CDC (directly and through its subsidiaries) will have five  </w:t>
        <w:br/>
        <w:t xml:space="preserve">votes out of ten on the board of directors of Arpavie, within which decisions are made by  </w:t>
        <w:br/>
        <w:t xml:space="preserve">majority. The statutes provide that in the event of a tie in votes within the board of directors,  </w:t>
        <w:br/>
        <w:t xml:space="preserve">the president has a casting vote. The president of Arpavie being currently a representative of  </w:t>
        <w:br/>
        <w:t xml:space="preserve">the CDC, the latter will have the capacity to unilaterally adopt the decisions made by the  </w:t>
        <w:br/>
        <w:t xml:space="preserve">board of directors. The decisions of the board of directors concern in particular the definition  </w:t>
        <w:br/>
        <w:t xml:space="preserve">of the policy and general orientations of the association, the designation of the members of  </w:t>
        <w:br/>
        <w:t xml:space="preserve">the bureau including the president, and the budget. Consequently, the CDC will be able to  </w:t>
        <w:br/>
        <w:t xml:space="preserve">make all strategic decisions regarding Arpavie unilaterally.  </w:t>
        <w:br/>
        <w:t xml:space="preserve">4. Insofar as it results in the exclusive control of the association Arpavie by the CDC, the  </w:t>
        <w:br/>
        <w:t xml:space="preserve">notified operation constitutes a concentration within the meaning of Article L. 430-1 of the  </w:t>
        <w:br/>
        <w:t xml:space="preserve">Commercial Code.  </w:t>
        <w:br/>
        <w:t xml:space="preserve">5. The concerned companies together achieve a total worldwide turnover of more than 150  </w:t>
        <w:br/>
        <w:t xml:space="preserve">million euros (CDC: [≥150 million] euros for the fiscal year ending December 31, 2019;  </w:t>
        <w:br/>
        <w:t xml:space="preserve">Arpavie: [≥150] million euros for the fiscal year ending December 31, 2018). Each of these  </w:t>
        <w:br/>
        <w:t xml:space="preserve">companies achieves, in France, a turnover exceeding 50 million euros (CDC: [≥50 million]  </w:t>
        <w:br/>
        <w:t xml:space="preserve">euros for the fiscal year ending December 31, 2019; Arpavie: [≥50] million euros for the  </w:t>
        <w:br/>
        <w:t xml:space="preserve">fiscal year ending December 31, 2018). Given these turnover figures, the operation does not  </w:t>
        <w:br/>
        <w:t xml:space="preserve">have a European dimension. On the other hand, the control thresholds mentioned in I of  </w:t>
        <w:br/>
        <w:t xml:space="preserve">Article L. 430-2 of the Commercial Code are exceeded. The present operation is therefore  </w:t>
        <w:br/>
        <w:t xml:space="preserve">subject to the provisions of Articles L. 430-3 and following of the Commercial Code, relating  </w:t>
        <w:br/>
        <w:t xml:space="preserve">to economic concentration.  </w:t>
        <w:br/>
        <w:t xml:space="preserve">2 These modifications must be voted on at an extraordinary general meeting of the association scheduled for September 2020.  </w:t>
        <w:br/>
        <w:t>2</w:t>
      </w:r>
    </w:p>
    <w:p>
      <w:r>
        <w:t xml:space="preserve">II. Delimitation of relevant markets  </w:t>
        <w:br/>
        <w:t xml:space="preserve">6. The association Arpavie is primarily active in the long-term accommodation markets for  </w:t>
        <w:br/>
        <w:t xml:space="preserve">autonomous and dependent elderly persons. It is also marginally active in the home nursing care  </w:t>
        <w:br/>
        <w:t xml:space="preserve">market and in the management of real estate assets for its own account.  </w:t>
        <w:br/>
        <w:t xml:space="preserve">7. The CDC is active in the real estate services markets, e-health, and the provision of care  </w:t>
        <w:br/>
        <w:t xml:space="preserve">and diagnostics3.  </w:t>
        <w:br/>
        <w:t xml:space="preserve">A. LONG-TERM ACCOMMODATION MARKETS FOR ELDERLY PERSONS  </w:t>
        <w:br/>
        <w:t xml:space="preserve">1. SERVICE MARKET  </w:t>
        <w:br/>
        <w:t xml:space="preserve">8. Decision-making practice considers that the market includes (i) EHPADs, (ii) housing-shelters or  </w:t>
        <w:br/>
        <w:t xml:space="preserve">service residences which are groups of permanent autonomous housing, in rooms or apartments,  </w:t>
        <w:br/>
        <w:t xml:space="preserve">that offer optional collective equipment and services, with elderly persons being owners or  </w:t>
        <w:br/>
        <w:t xml:space="preserve">tenants of their housing, and (iii) long-term care units ("USLD") which are medicalized  </w:t>
        <w:br/>
        <w:t xml:space="preserve">structures intended for the permanent care of very dependent persons4.  </w:t>
        <w:br/>
        <w:t xml:space="preserve">9. Decision-making practice has deemed it not relevant to further segment this market based on  </w:t>
        <w:br/>
        <w:t xml:space="preserve">the legal status of the establishment or according to the financial contribution required from the  </w:t>
        <w:br/>
        <w:t xml:space="preserve">elderly person. However, the question of a distinct market for USLDs has been examined5.  </w:t>
        <w:br/>
        <w:t xml:space="preserve">Nevertheless, this question can be left open, as the parties do not engage in this activity.  </w:t>
        <w:br/>
        <w:t xml:space="preserve">10. The notifying party considers it relevant to segment the long-term accommodation market for  </w:t>
        <w:br/>
        <w:t xml:space="preserve">elderly persons between EHPADs, on the one hand, and accommodations for non-dependent  </w:t>
        <w:br/>
        <w:t xml:space="preserve">elderly persons, on the other hand, due to the difference in the level of autonomy of the residents.  </w:t>
        <w:br/>
        <w:t xml:space="preserve">It also notes that a specific sub-segmentation of accommodation for autonomous elderly persons  </w:t>
        <w:br/>
        <w:t xml:space="preserve">could be considered. Indeed, it emphasizes that there is a difference between independent living  </w:t>
        <w:br/>
        <w:t xml:space="preserve">residences and serviced residences for seniors. Indeed, while independent living residences are  </w:t>
        <w:br/>
        <w:t xml:space="preserve">medico-social establishments just like EHPADs, serviced residences for seniors are commercial  </w:t>
        <w:br/>
        <w:t xml:space="preserve">private establishments that are not subject to the rules of the medico-social sector. Consequently,  </w:t>
        <w:br/>
        <w:t xml:space="preserve">the notifying party proposes to retain in the analysis three  </w:t>
        <w:br/>
        <w:t xml:space="preserve">3 The CDC is also active in the markets for home health care services, home services, and comfort aesthetic surgery services. In this case, given Arpavie's activities, these activities do not have any relevant links with those of the target.  </w:t>
        <w:br/>
        <w:t xml:space="preserve">4 See the decisions of the Competition Authority No. 19-DCC-32 of February 25, 2019, regarding the creation of a joint venture by the VYV and Habitat Développement groups, No. 16-DCC-38 of March 10, 2016, regarding the creation of ARPAVIE by the merger-absorption of the Association of Residences for Elderly Persons, the Association of Residences and Shelters, and the Association of Residences for Dependent Elderly Persons, No. 14-DCC-132 of September 15 regarding the exclusive control of the Colisée company by the Eurazeo group, No. 14-DCC-22 of February 21, 2014, regarding the merger-absorption of the Médica company by the Korian company, No. 10-DCC-179 of December 13, 2010, regarding the exclusive control of the Méditer and Mieux-Vivre group by the Orpéa company, and No. 10-DCC-132 of October 11, 2010, regarding the creation of two joint ventures by Domus Vi and GDP Vendôme.  </w:t>
        <w:br/>
        <w:t xml:space="preserve">5 See in particular the letter from the Minister in charge of the economy dated January 28, 2003, to the board of the Médica France company regarding a concentration in the long-stay accommodation sector for dependent elderly persons; the decisions of the Authority No. 19-DCC-32, No. 16-DCC-38, No. 14-DCC-132, No. 14 DCC-22, No. 10-DCC-179, and No. 10-DCC-132 mentioned above.  </w:t>
        <w:br/>
        <w:t>3</w:t>
      </w:r>
    </w:p>
    <w:p>
      <w:r>
        <w:rPr>
          <w:b/>
        </w:rPr>
        <w:t>[Pages 4–6]</w:t>
      </w:r>
    </w:p>
    <w:p>
      <w:r>
        <w:t xml:space="preserve">Categories of establishment: (i) EHPADs, (ii) independent living residences, and (iii) senior service residences (hereinafter "RSS").  </w:t>
        <w:br/>
        <w:t xml:space="preserve">11. In this case, the precise delineation of the market can be left open, as the conclusions of the competitive analysis remain unchanged, regardless of the hypothesis adopted.  </w:t>
        <w:br/>
        <w:t xml:space="preserve">2. GEOGRAPHIC MARKET  </w:t>
        <w:br/>
        <w:t xml:space="preserve">12. Regarding the geographic delineation of the market for elderly accommodation, decision-making practice has identified, for the entire territory outside the Paris region, the existence of markets of departmental dimension, with the criterion for choosing the establishment being its proximity to the elderly person's home or the family referent. Concerning the Paris region, the consideration of the entire region has been envisaged.  </w:t>
        <w:br/>
        <w:t xml:space="preserve">13. The question of the exact definition of the relevant geographic market can, however, be left open insofar as, regardless of the delineation adopted, the conclusions of the competitive analysis remain unchanged.  </w:t>
        <w:br/>
        <w:t xml:space="preserve">14. In this case, the analysis will be conducted at the departmental level except for the Île-de-France region where the analysis will be conducted at the regional level.  </w:t>
        <w:br/>
        <w:t xml:space="preserve">B. REAL ESTATE SERVICES MARKETS  </w:t>
        <w:br/>
        <w:t xml:space="preserve">1. SERVICE MARKETS  </w:t>
        <w:br/>
        <w:t xml:space="preserve">15. National and European competition authorities have considered, while leaving the question open, various segmentations in the real estate services sector according to (i) the recipients of the services, with properties being intended either for individuals, the relevant buildings being for residential use, or for businesses, the relevant buildings being for commercial or professional use, (ii) the pricing method (free residential real estate and social or intermediate assisted housing), (iii) the type of activity carried out in the premises (offices, commercial premises, and other activity premises such as warehouses or hotels), and (iv) the nature of the services or goods offered.  </w:t>
        <w:br/>
        <w:t xml:space="preserve">16. For this last segmentation, the following services have been identified:  </w:t>
        <w:br/>
        <w:t xml:space="preserve">(i) real estate promotion which includes the activities of construction and sale of real estate;  </w:t>
        <w:br/>
        <w:t xml:space="preserve">(ii) management of real estate assets for one's own account;  </w:t>
        <w:br/>
        <w:t xml:space="preserve">(iii) management of real estate assets for third parties (institutional investors, mainly banks and insurance companies) which covers advice and management of real estate portfolios (arbitration and valuation of assets), structuring of real estate investment operations, and management of real estate assets and specialized investment vehicles (notably real estate civil companies);  </w:t>
        <w:br/>
        <w:t xml:space="preserve">(iv) property management which covers the activities of managing buildings on behalf of owners and can be segmented between rental management and co-ownership management;  </w:t>
        <w:br/>
        <w:t xml:space="preserve">(v) real estate appraisal;  </w:t>
        <w:br/>
        <w:t xml:space="preserve">(vi) real estate consulting;  </w:t>
        <w:br/>
        <w:t xml:space="preserve">(vii) intermediation in real estate transactions for which intermediation in purchase/sale operations is distinguished from intermediation in rental operations.  </w:t>
        <w:br/>
        <w:t xml:space="preserve">17. Regarding the market for holding and managing real estate assets for one's own account of properties for uses other than office or commercial premises, decision-making practice has considered, while leaving the question open, a finer segmentation of the market according to the nature of the activities, concerning properties intended for EHPADs.  </w:t>
        <w:br/>
        <w:t xml:space="preserve">18. The notifying party considers it relevant to segment the market for managing assets for one's own account in the same way as the long-term accommodation market for elderly persons by retaining specific markets for (i) EHPADs, (ii) independent living residences, and (iii) RSS.  </w:t>
        <w:br/>
        <w:t xml:space="preserve">19. In this case, the parties are simultaneously present in the management of real estate assets for one's own account intended for accommodation for elderly persons, and specifically in independent living residences.  </w:t>
        <w:br/>
        <w:t xml:space="preserve">20. The question of the exact delineation of these markets can be left open, as the conclusions of the competitive analysis remain unchanged, regardless of the delineations adopted.  </w:t>
        <w:br/>
        <w:t xml:space="preserve">2. GEOGRAPHIC MARKETS  </w:t>
        <w:br/>
        <w:t xml:space="preserve">21. Decision-making practice considers that the real estate service markets aimed at individuals are of local dimension.  </w:t>
        <w:br/>
        <w:t xml:space="preserve">22. Specifically regarding the market for holding and managing real estate assets for one's own account, competition authorities have conducted their analysis at the regional or infra-regional level.  </w:t>
        <w:br/>
        <w:t xml:space="preserve">23. The question of the exact geographic delineation of the markets in the real estate sector can, however, be left open, as the conclusions of the competitive analysis remain unchanged, regardless of the delineations adopted.  </w:t>
        <w:br/>
        <w:t xml:space="preserve">24. In this case, the analysis has been conducted at the departmental level except for the Île-de-France region where the regional dimension will also be taken into account.  </w:t>
        <w:br/>
        <w:t xml:space="preserve">C. HEALTH MARKETS  </w:t>
        <w:br/>
        <w:t xml:space="preserve">1. E-HEALTH MARKETS  </w:t>
        <w:br/>
        <w:t xml:space="preserve">25. The Competition Authority has defined e-health as "the application of information and communication technologies to all activities related to health."  </w:t>
        <w:br/>
        <w:t xml:space="preserve">26. National and European competition authorities have identified a market for health-specific information services within which they have distinguished (i) health information systems intended notably for hospitals and health professionals, (ii) telehealth including the dematerialization of the management of reimbursements, prescriptions, and patient records, as well as the development of tools allowing the online recording of physiological data, and (iii) telemedicine which covers all medical procedures carried out remotely by professionals.  </w:t>
        <w:br/>
        <w:t xml:space="preserve">27. National and European authorities consider that these markets are of national dimension, given the linguistic constraints and the national regulations applicable to the health sector.  </w:t>
        <w:br/>
        <w:t xml:space="preserve">28. In this case, the question of the exact delineation of service markets can be left open, insofar as, regardless of the segmentation adopted, the conclusions of the competitive analysis remain unchanged.  </w:t>
        <w:br/>
        <w:t xml:space="preserve">2. HOME NURSING CARE MARKETS  </w:t>
        <w:br/>
        <w:t xml:space="preserve">29. Regarding home nursing care, national decision-making practice has considered, while leaving the question open, a distinction between home nursing care activities and those of care within hospital establishments. The target only offers home nursing care services, while the CDC, through the Vivalto hospital group, offers nursing care within health establishments.  </w:t>
        <w:br/>
        <w:t xml:space="preserve">30. Regarding the geographic delineation, national decision-making practice has retained a local, at most regional, dimension for the home nursing care market.  </w:t>
        <w:br/>
        <w:t xml:space="preserve">3. MARKETS FOR DIAGNOSTIC AND HOSPITAL CARE SERVICES  </w:t>
        <w:br/>
        <w:t>31. Decision-making practice has retained an initial segmentation based on the authorization system provided for by the Public Health Code. Indeed, the offer of diagnostics and care is subject to specific regulations.</w:t>
      </w:r>
    </w:p>
    <w:p>
      <w:r>
        <w:rPr>
          <w:b/>
        </w:rPr>
        <w:t>[Pages 7–9]</w:t>
      </w:r>
    </w:p>
    <w:p>
      <w:r>
        <w:t>hospital care is heavily regulated: healthcare establishments must hold authorizations granted by regional health agencies in order to carry out the care activities listed in Article R. 6122-25 of the Public Health Code16.</w:t>
      </w:r>
    </w:p>
    <w:p>
      <w:r>
        <w:t>32. Furthermore, the Competition Authority has recently defined a new segmentation of hospitalizations into medicine, surgery, obstetrics, and dentistry17, which is based on categories within which a certain substitutability of supply can be observed. These categories are based on the four-level nomenclature developed by the Technical Agency for Information on Hospitalization (Atih), and in particular on the planning groups that constitute the third level of aggregation of the nomenclature18. These categories are as follows19: (i) digestive system, (ii) locomotor system, (iii) rheumatology, (iv) urinary system, (v) cardiovascular, (vi) aesthetic and comfort surgery, (vii) gynecology, (viii) abortion, (ix) hematology, (x) neurosurgery, (xi) neurology, (xii) obstetrics, (xiii) ophthalmology, (xiv) newborns and perinatal period, (xv) psychiatry, (xvi) hyperbaric oxygen therapy, in sessions, (xvii) chemotherapy, (xviii) thoracic vascular surgery, (xix) cardiovascular surgery, (xx) pulmonology, (xxi) endocrinology, (xxii) inter-specialty surgery, (xxiii) inter-specialty medicine, (xxiv) rare specialties, (xxv) organ transplantation (excluding bone marrow and cornea transplants), (xxvi) ENT, and (xxvii) stomatology.</w:t>
      </w:r>
    </w:p>
    <w:p>
      <w:r>
        <w:t>33. Decision-making practice has considered the existence of substitutability justifying the grouping within the same category of categories (i) rheumatology and locomotor system and (ii) ENT and stomatology. In this case, the question can be left open, as the results of the competitive analysis remain unchanged, regardless of the hypothesis adopted.</w:t>
      </w:r>
    </w:p>
    <w:p>
      <w:r>
        <w:t>34. Decision-making practice has considered that the effects of a concentration operation on the markets for the supply of diagnostics and hospital care should be assessed at the regional, departmental, and local levels20.</w:t>
      </w:r>
    </w:p>
    <w:p>
      <w:r>
        <w:t>III. Competitive Analysis</w:t>
        <w:br/>
        <w:t>A. ANALYSIS OF HORIZONTAL EFFECTS</w:t>
      </w:r>
    </w:p>
    <w:p>
      <w:r>
        <w:t>35. The parties are simultaneously active in the market for the management of real estate assets intended for the accommodation of elderly persons, and more specifically in independent living residences in Île-de-France, particularly in Seine-Saint-Denis.</w:t>
      </w:r>
    </w:p>
    <w:p>
      <w:r>
        <w:t>36. Arpavie holds the real estate asset of an independent living residence in Seine-Saint-Denis, while the CDC holds several real estate assets operated as EHPADs (20 in Île-de-France, including three in Seine-Saint-Denis), independent living residences (54 in Île-de-France, including three in Seine-Saint-Denis), and RSS (six in Île-de-France and none in Seine-Saint-Denis).</w:t>
      </w:r>
    </w:p>
    <w:p>
      <w:r>
        <w:t>37. Regardless of the segmentations considered, the market share of the new entity will be less than 15%.</w:t>
      </w:r>
    </w:p>
    <w:p>
      <w:r>
        <w:t>38. Furthermore, the parties are simultaneously active in the nursing care market, with Arpavie providing home nursing care and the CDC providing nursing care in hospital establishments. In this case, the parties are not present in the same departments, with Arpavie being active in Val-de-Marne (94) and Vivalto having health establishments in the neighboring departments of Hauts-de-Seine (92) and Paris (75), as well as in the Île-de-France region, in Yvelines (78) and Val-d’Oise (95).</w:t>
      </w:r>
    </w:p>
    <w:p>
      <w:r>
        <w:t>39. It should first be noted that there is very low substitutability between nursing care in hospital establishments and home nursing care. Indeed, a patient hospitalized in a healthcare establishment cannot access nursing care provided by Arpavie, and conversely, a patient at home cannot access nursing services provided by a healthcare establishment. The choice of one or the other nursing service stems from the broader choice made by the patient regarding their care strategy, and as such, the two types of nursing services exert only limited competitive pressure on each other. Moreover, any potential overlap related to the operation is limited in that the scope of intervention of Arpavie's home nursing services is confined to the cities of Choisy-le-Roi, Ablon, and Orly. Finally, Arpavie's market share in the home nursing care segment alone is less than [0-5]%, so the addition of market share related to the operation in the overall nursing care market will necessarily be limited and necessarily less than four points.</w:t>
      </w:r>
    </w:p>
    <w:p>
      <w:r>
        <w:t>40. Consequently, the operation is not likely to harm competition through horizontal effects in these markets.</w:t>
      </w:r>
    </w:p>
    <w:p>
      <w:r>
        <w:t>B. ANALYSIS OF VERTICAL EFFECTS</w:t>
      </w:r>
    </w:p>
    <w:p>
      <w:r>
        <w:t>41. A vertical concentration can restrict competition by making access to the markets in which the new entity will be active more difficult, or even potentially excluding competitors or penalizing them by increasing their costs. This lock-in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w:t>
      </w:r>
    </w:p>
    <w:p>
      <w:r>
        <w:t>42. However, decision-making practice generally considers that a risk of effect can be ruled out as long as the market share of the company resulting from the operation in the relevant markets does not exceed 30%21.</w:t>
      </w:r>
    </w:p>
    <w:p>
      <w:r>
        <w:t>43. First, there is a vertical link between the activities of managing real estate assets intended for the accommodation of elderly persons and the operation of establishments intended for the accommodation of elderly persons. However, regarding the management of real estate assets intended for the accommodation of elderly persons, the market shares of the CDC are almost systematically below 30%. In areas where the market share of the CDC exceeds 30%, Arpavie is not present in the market for operating accommodations for elderly persons. Similarly, the CDC is not present in the only area where Arpavie holds a market share greater than 30%.</w:t>
      </w:r>
    </w:p>
    <w:p>
      <w:r>
        <w:t>44. Furthermore, there is also a vertical link between the supply of diagnostics and hospital care from the CDC (via the Vivalto group) and Arpavie's home nursing care activity. However, Arpavie's activity in this market is limited ([0-5]% market share) and confined to certain cities in Val-de-Marne (94): it is a home nursing service linked to the Residence of Choisy-le-Roi that operates in the area of Orly, Ablon, and Choisy-le-Roi. The CDC does not have offers for diagnostics and hospital care in Val-de-Marne (94). However, Vivalto operates the Val-d’Or clinic in Saint-Cloud in the neighboring department of Hauts-de-Seine (92) and the Victor Hugo Clinic in Paris (75). However, in 2018, less than 10% of the stays in these healthcare establishments concerned patients residing in Val-de-Marne22, and the stays made in these two establishments by patients residing in Val-de-Marne represent less than 1% of the total number of stays made in healthcare establishments by residents of Val-de-Marne. Consequently, following the operation, the new entity will not have the capacity to implement any lock-in that would favor Arpavie's home nursing care activity in Val-de-Marne. Moreover, it should be noted that the selection of the home nursing service acting on medical prescription depends on the free choice of the patient.</w:t>
      </w:r>
    </w:p>
    <w:p>
      <w:r>
        <w:t>45. Finally, there is a vertical link between the supply of diagnostics and hospital care and the accommodation services intended for elderly persons.</w:t>
      </w:r>
    </w:p>
    <w:p>
      <w:r>
        <w:t>46. The notifying party was unable to provide its market shares in the markets for the supply of diagnostics and hospital care due to the ongoing health crisis at the time of notification. The Authority exceptionally conducted the competitive analysis without having the market shares by making the conservative assumption that the CDC (through the Vivalto group) has market shares exceeding 30% at least in certain markets related to the supply of diagnostics and care.</w:t>
      </w:r>
    </w:p>
    <w:p>
      <w:r>
        <w:t>47. However, any risk of establishing a lock-in effect through the exclusive addressing of residents from Arpavie's accommodations to CDC healthcare establishments can be ruled out. Indeed, as previously indicated, the market share of the new entity will exceed 30% only in the market for independent living residences in Hautes-Pyrénées. However, the CDC does not have healthcare establishments in this department or in the neighboring departments (Gers, Haute-Garonne, and Pyrénées-Atlantiques).</w:t>
      </w:r>
    </w:p>
    <w:p>
      <w:r>
        <w:rPr>
          <w:b/>
        </w:rPr>
        <w:t>[Pages 10–11]</w:t>
      </w:r>
    </w:p>
    <w:p>
      <w:r>
        <w:t xml:space="preserve">48. Similarly, the Authority was able to dismiss any effect on competition related to the preferential addressing of elderly persons leaving health establishments of the Vivalto group to accommodations of Arpavie.  </w:t>
        <w:br/>
        <w:t xml:space="preserve">49. First of all, admission to independent living residences and RSS is not subject to a medical recommendation as these facilities accommodate autonomous residents who can also choose to remain at home. Consequently, the new entity will not be able to establish a favored addressing mechanism towards the establishments housing autonomous elderly persons of Arpavie.  </w:t>
        <w:br/>
        <w:t xml:space="preserve">50. On the other hand, admission to EHPAD follows a finding of loss of autonomy. This admission may follow a stay in a rehabilitation and recovery care facility or discharge from a medical service. However, in all areas where the CDC has health establishments and where Arpavie operates EHPADs, with the exception of the Rhône department, the occupancy rates of EHPADs as of January 1, 2020, exceed [80-90]% and the number of available places in these Arpavie establishments consistently represents less than 1% of the EHPAD places in the relevant department. Consequently, following the operation, the new entity will not be able to implement a locking mechanism capable of eliminating competition in these areas.  </w:t>
        <w:br/>
        <w:t xml:space="preserve">51. In the Rhône department, Arpavie operates an EHPAD whose occupancy rate as of January 1, 2020, is limited ([40-50]%), this occupancy rate being explained by significant rehabilitation work carried out in the establishment in the second half of 2019. It appears that the occupancy rate of the establishment is increasing, with a rise of 20 points during the first half of 2020. Furthermore, the number of available places in this establishment (25 places) represents less than 0.5% of the available places in the department (13,425 places). Consequently, following the operation, the new entity will not be able to establish an addressing mechanism capable of eliminating Arpavie's competitors in the market for long-term accommodation for dependent elderly persons.  </w:t>
        <w:br/>
        <w:t xml:space="preserve">52. Consequently, the operation is not likely to harm competition through vertical effects in these markets.  </w:t>
        <w:br/>
        <w:t xml:space="preserve">C. ANALYSIS OF CONGLOMERATE EFFECTS  </w:t>
        <w:br/>
        <w:t xml:space="preserve">53. A concentration is likely to lead to conglomerate effects when the new entity extends or strengthens its presence in markets that are connected to other markets where it holds market power.  </w:t>
        <w:br/>
        <w:t xml:space="preserve">54. However, decision-making practice generally considers that a risk of vertical or conglomerate effect can be dismissed as long as the market share of the company resulting from the operation in the relevant markets does not exceed 30%23.  </w:t>
        <w:br/>
        <w:t xml:space="preserve">55. There could finally be a connection between the e-health market and the markets related to the accommodation of elderly persons. However, the market share of the new entity is systematically below 30% in all relevant markets, with the exception of the market for accommodation of elderly persons in independent living residences in the Hautes-Pyrénées. However, the new entity will not be able to eliminate CDC's competitors in the e-health market based on its position in this market. Indeed, the e-health market is of national dimension and the establishments operated by Arpavie in the Hautes-Pyrénées accommodate a maximum of 100 residents (compared to more than 125,000 available places in independent living residences at the national level).  </w:t>
        <w:br/>
        <w:t xml:space="preserve">56. Consequently, the operation is not likely to harm competition through conglomerate effects.  </w:t>
        <w:br/>
        <w:t xml:space="preserve">DECIDES  </w:t>
        <w:br/>
        <w:t xml:space="preserve">Sole Article: The operation notified under number 20-090 is authorized.  </w:t>
        <w:br/>
        <w:t xml:space="preserve">The Vice-President,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