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https://www.autoritedelaconcurrence.fr/fr/decision-de-controle-des-concentrations/relative-la-prise-de-controle-exclusif-de-lhotel-pullman</w:t>
      </w:r>
    </w:p>
    <w:p>
      <w:r>
        <w:t>Pages translated : 2</w:t>
      </w:r>
    </w:p>
    <w:p/>
    <w:p>
      <w:r>
        <w:rPr>
          <w:b/>
        </w:rPr>
        <w:t>[Pages 1–2]</w:t>
      </w:r>
    </w:p>
    <w:p>
      <w:r>
        <w:t>FRENCH REPUBLIC</w:t>
        <w:br/>
        <w:t>Decision No. 24-DCC-16 of February 8, 2024</w:t>
        <w:br/>
        <w:t>regarding the exclusive control acquisition of the Pullman Paris Tour Eiffel Hotel by Morgan Stanley.</w:t>
        <w:br/>
        <w:t>The Competition Authority,</w:t>
        <w:br/>
        <w:t>Having regard to the complete notification file submitted to the mergers department on January 23, 2024, concerning the exclusive control acquisition by Morgan Stanley of the Pullman Paris Tour Eiffel Hotel, formalized by a share purchase agreement signed on December 21, 2023;</w:t>
        <w:br/>
        <w:t>Having regard to Book IV of the Commercial Code relating to the freedom of prices and competition, and in particular its Articles L. 430-1 to L. 430-7;</w:t>
        <w:br/>
        <w:t>Adopts the following decision:</w:t>
        <w:br/>
        <w:t>1. The notified operation consists of the exclusive control acquisition of the Pullman Paris Tour Eiffel Hotel, located in Paris (75) by Morgan Stanley.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24-007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