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https://www.autoritedelaconcurrence.fr/fr/decision-de-controle-des-concentrations/relative-la-prise-de-controle-exclusif-de-lhypermarche</w:t>
      </w:r>
    </w:p>
    <w:p>
      <w:r>
        <w:t>Pages translated : 36</w:t>
      </w:r>
    </w:p>
    <w:p/>
    <w:p>
      <w:r>
        <w:rPr>
          <w:b/>
        </w:rPr>
        <w:t>[Pages 1–3]</w:t>
      </w:r>
    </w:p>
    <w:p>
      <w:r>
        <w:t xml:space="preserve">FRENCH REPUBLIC  </w:t>
        <w:br/>
        <w:t xml:space="preserve">Decision No. 22-DCC-254 of December 22, 2022  </w:t>
        <w:br/>
        <w:t xml:space="preserve">regarding the exclusive control of the hypermarket  </w:t>
        <w:br/>
        <w:t xml:space="preserve">Géant Casino La Batelière and the company H Immobilier  </w:t>
        <w:br/>
        <w:t xml:space="preserve">by the Parfait Group  </w:t>
        <w:br/>
        <w:t xml:space="preserve">The Competition Authority,  </w:t>
        <w:br/>
        <w:t xml:space="preserve">Having regard to the notification file submitted in full to the merger control service  </w:t>
        <w:br/>
        <w:t xml:space="preserve">on September 23, 2021, regarding the exclusive control of the hypermarket Géant Casino  </w:t>
        <w:br/>
        <w:t xml:space="preserve">La Batelière and the company H Immobilier by the Parfait Group, formalized by a  </w:t>
        <w:br/>
        <w:t xml:space="preserve">share transfer agreement dated April 15, 2020, and by the judgment of the mixed commercial  </w:t>
        <w:br/>
        <w:t xml:space="preserve">court of Fort-de-France dated April 30, 2020;  </w:t>
        <w:br/>
        <w:t xml:space="preserve">Having regard to Book IV of the Commercial Code relating to price and competition freedom,  </w:t>
        <w:br/>
        <w:t xml:space="preserve">and in particular its Articles L. 430-1 to L. 430-7;  </w:t>
        <w:br/>
        <w:t xml:space="preserve">Having regard to the commitments submitted on July 26, 2022, and last modified on December 14,  </w:t>
        <w:br/>
        <w:t xml:space="preserve">2022, by the notifying party;  </w:t>
        <w:br/>
        <w:t xml:space="preserve">Having regard to the additional elements submitted by the parties during the investigation;  </w:t>
        <w:br/>
        <w:t xml:space="preserve">Having regard to the other documents in the file;  </w:t>
        <w:br/>
        <w:t>Adopts the following decision:</w:t>
      </w:r>
    </w:p>
    <w:p>
      <w:r>
        <w:t xml:space="preserve">Summary1  </w:t>
        <w:br/>
        <w:t xml:space="preserve">On September 23, 2021, the Parfait Group notified the Competition Authority of a proposed  </w:t>
        <w:br/>
        <w:t xml:space="preserve">merger operation leading to the exclusive control of the hypermarket Géant Casino  </w:t>
        <w:br/>
        <w:t xml:space="preserve">La Batelière, on the one hand, and the company H Immobilier, on the other hand2.  </w:t>
        <w:br/>
        <w:t xml:space="preserve">More specifically, the Parfait Group acquired, as part of the judicial recovery of  </w:t>
        <w:br/>
        <w:t xml:space="preserve">certain subsidiaries of the company Ho-Hio-Hen, a food-dominant business fund  </w:t>
        <w:br/>
        <w:t xml:space="preserve">of the hypermarket type located in the municipality of Schœlcher in Martinique, previously  </w:t>
        <w:br/>
        <w:t xml:space="preserve">operated under the Géant Casino brand. The Parfait Group also acquired, on April 15, 2020,  </w:t>
        <w:br/>
        <w:t xml:space="preserve">the real estate of the La Batelière shopping center in which the target hypermarket is located,  </w:t>
        <w:br/>
        <w:t xml:space="preserve">from the company H Immobilier, a subsidiary of the Ho Hio Hen group. Following its analysis,  </w:t>
        <w:br/>
        <w:t xml:space="preserve">the Authority considered that these two operations are interdependent and constitute a single  </w:t>
        <w:br/>
        <w:t xml:space="preserve">merger operation.  </w:t>
        <w:br/>
        <w:t xml:space="preserve">The parties to the operation are primarily present in the retail market with a focus on food.  </w:t>
        <w:br/>
        <w:t xml:space="preserve">Moreover, the parties are simultaneously present in the upstream market for the supply of  </w:t>
        <w:br/>
        <w:t xml:space="preserve">food-dominant products as well as in the market for the management of real estate assets.  </w:t>
        <w:br/>
        <w:t xml:space="preserve">The Authority identified, at the end of its competitive analysis, risks of harm to competition  </w:t>
        <w:br/>
        <w:t xml:space="preserve">in the retail distribution markets and more specifically in the hypermarket supply market  </w:t>
        <w:br/>
        <w:t xml:space="preserve">in the Foyal plain, which corresponds to the territory of the Schœlcher – Fort de France –  </w:t>
        <w:br/>
        <w:t xml:space="preserve">Le Lamentin conurbation. The Authority indeed found that the new entity will have a  </w:t>
        <w:br/>
        <w:t xml:space="preserve">significant market share, exceeding 60%, in the hypermarket supply market in the Foyal plain  </w:t>
        <w:br/>
        <w:t xml:space="preserve">and that the operation will lead to the disappearance of an operator, thus creating a  </w:t>
        <w:br/>
        <w:t xml:space="preserve">duopolistic supply structure at the hypermarket level in the Foyal plain. Consequently, the  </w:t>
        <w:br/>
        <w:t xml:space="preserve">Competition Authority estimated that the operation raised risks of price increases and a  </w:t>
        <w:br/>
        <w:t xml:space="preserve">reduction in the diversity of supply.  </w:t>
        <w:br/>
        <w:t xml:space="preserve">To address the competitive risks identified by the Authority, the Parfait Group submitted  </w:t>
        <w:br/>
        <w:t xml:space="preserve">a series of commitments that respond to these competition concerns.  </w:t>
        <w:br/>
        <w:t xml:space="preserve">The Parfait Group first commits to sell the business fund of the target hypermarket to a  </w:t>
        <w:br/>
        <w:t xml:space="preserve">buyer who will be approved by the Competition Authority.  </w:t>
        <w:br/>
        <w:t xml:space="preserve">Given that the Parfait Group acquired both the business fund of the La Batelière hypermarket  </w:t>
        <w:br/>
        <w:t xml:space="preserve">and the real estate of the shopping gallery in which it is located, the Authority also considered  </w:t>
        <w:br/>
        <w:t xml:space="preserve">that the mere sale of the target business fund would not restore sufficient competition in the  </w:t>
        <w:br/>
        <w:t xml:space="preserve">relevant markets. Indeed, while such a sale may preserve the structure of the downstream  </w:t>
        <w:br/>
        <w:t xml:space="preserve">market for food-dominant distribution as it existed before the operation, maintaining the  </w:t>
        <w:br/>
        <w:t xml:space="preserve">presence of three brands controlled by three distinct operators, the buyer will necessarily be a  </w:t>
        <w:br/>
        <w:t xml:space="preserve">competitor of the Parfait Group – notably through the Rond-Point hypermarket owned by the  </w:t>
        <w:br/>
        <w:t xml:space="preserve">Parfait Group, located a short distance from that of La Batelière.  </w:t>
        <w:br/>
        <w:t xml:space="preserve">This new scheme could create a risk of sensitive information exchanges between the  </w:t>
        <w:br/>
        <w:t xml:space="preserve">Parfait Group and the buyer. It would also create a risk that the Parfait Group could  </w:t>
        <w:br/>
        <w:t xml:space="preserve">interfere in the management of the commercial lease and, more generally, of the La Batelière  </w:t>
        <w:br/>
        <w:t xml:space="preserve">shopping center, to the detriment of the buyer, and thus influence the development of the  </w:t>
        <w:br/>
        <w:t xml:space="preserve">business fund's activity.  </w:t>
        <w:br/>
        <w:t xml:space="preserve">The Parfait Group thus accompanies its commitment to sell the business fund of the  </w:t>
        <w:br/>
        <w:t xml:space="preserve">target hypermarket with a set of guarantees regarding the commercial lease that will be  </w:t>
        <w:br/>
        <w:t xml:space="preserve">concluded between the Parfait Group and the buyer of the business fund. The Parfait Group  </w:t>
        <w:br/>
        <w:t xml:space="preserve">also commits to modify the statutes of the company owning the real estate of the shopping  </w:t>
        <w:br/>
        <w:t xml:space="preserve">gallery in order to distinguish, on the one hand, the holding of ordinary shares ensuring  </w:t>
        <w:br/>
        <w:t xml:space="preserve">their owner, namely the Parfait Group, primarily financial rights and, on the other hand,  </w:t>
        <w:br/>
        <w:t xml:space="preserve">the holding of a preferred share ensuring its owner, a third party independent of the  </w:t>
        <w:br/>
        <w:t xml:space="preserve">Parfait Group, control over the direction and management of the company and its real estate  </w:t>
        <w:br/>
        <w:t xml:space="preserve">assets.  </w:t>
        <w:br/>
        <w:t xml:space="preserve">These various guarantees are intended to ensure the independence of the management of the  </w:t>
        <w:br/>
        <w:t xml:space="preserve">commercial lease of the business fund from the Parfait Group, and to prevent any  </w:t>
        <w:br/>
        <w:t xml:space="preserve">transmission of sensitive information related to the activity of the buyer of the  </w:t>
        <w:br/>
        <w:t xml:space="preserve">hypermarket business fund to any entity of the Parfait Group.  </w:t>
        <w:br/>
        <w:t xml:space="preserve">Given the commitments presented, the Authority has authorized the operation.  </w:t>
        <w:br/>
        <w:t>* Correction of material error</w:t>
      </w:r>
    </w:p>
    <w:p>
      <w:r>
        <w:rPr>
          <w:b/>
        </w:rPr>
        <w:t>[Pages 4–6]</w:t>
      </w:r>
    </w:p>
    <w:p>
      <w:r>
        <w:t xml:space="preserve">SOMMAIRE  </w:t>
        <w:br/>
        <w:t xml:space="preserve">I. THE COMPANIES CONCERNED AND THE OPERATION .............. 6  </w:t>
        <w:br/>
        <w:t xml:space="preserve">A. THE COMPANIES CONCERNED ..........................................................................6  </w:t>
        <w:br/>
        <w:t xml:space="preserve">B. THE OPERATION ...............................................................................................................6  </w:t>
        <w:br/>
        <w:t xml:space="preserve">1. REMINDER OF THE PROCEDURE .......................................................................................6  </w:t>
        <w:br/>
        <w:t xml:space="preserve">2. THE PRESENT CONCENTRATION OPERATION ......................................................8  </w:t>
        <w:br/>
        <w:t xml:space="preserve">II. DELIMITATION OF THE RELEVANT MARKETS ......................... 11  </w:t>
        <w:br/>
        <w:t xml:space="preserve">A. THE UPSTREAM MARKETS FOR THE SUPPLY OF FOOD PRODUCTS ..................................................11  </w:t>
        <w:br/>
        <w:t xml:space="preserve">1. DELIMITATION OF SERVICE MARKETS ..........................................................11  </w:t>
        <w:br/>
        <w:t xml:space="preserve">2. DELIMITATION OF GEOGRAPHICAL MARKETS ...................................................13  </w:t>
        <w:br/>
        <w:t xml:space="preserve">B. THE DOWNSTREAM MARKETS FOR THE DISTRIBUTION OF FOOD PRODUCTS ..................................................13  </w:t>
        <w:br/>
        <w:t xml:space="preserve">1. DELIMITATION OF SERVICE MARKETS ............................................................13  </w:t>
        <w:br/>
        <w:t xml:space="preserve">2. DELIMITATION OF GEOGRAPHICAL MARKETS ...................................................14  </w:t>
        <w:br/>
        <w:t xml:space="preserve">C. THE MARKETS FOR REAL ESTATE ASSET MANAGEMENT .................................16  </w:t>
        <w:br/>
        <w:t xml:space="preserve">1. DELIMITATION OF SERVICE MARKETS ............................................................16  </w:t>
        <w:br/>
        <w:t xml:space="preserve">2. DELIMITATION OF GEOGRAPHICAL MARKETS ...................................................18  </w:t>
        <w:br/>
        <w:t xml:space="preserve">III. COMPETITIVE ANALYSIS .................................................... 19  </w:t>
        <w:br/>
        <w:t xml:space="preserve">A. THE UPSTREAM MARKETS FOR THE SUPPLY OF FOOD PRODUCTS ..................................................19  </w:t>
        <w:br/>
        <w:t xml:space="preserve">1. AT THE NATIONAL LEVEL .............................................................................................19  </w:t>
        <w:br/>
        <w:t xml:space="preserve">2. AT THE LOCAL LEVEL ...................................................................................................19  </w:t>
        <w:br/>
        <w:t xml:space="preserve">B. THE DOWNSTREAM MARKETS FOR THE RETAIL DISTRIBUTION OF FOOD PRODUCTS ..................................................20  </w:t>
        <w:br/>
        <w:t xml:space="preserve">1. ASSESSMENT OF THE MEGASTOCK STORE'S BELONGING TO THE DOWNSTREAM MARKET FOR THE RETAIL DISTRIBUTION OF FOOD PRODUCTS ................................21  </w:t>
        <w:br/>
        <w:t xml:space="preserve">2. ANALYSIS OF THE DOWNSTREAM MARKETS FOR THE RETAIL DISTRIBUTION OF FOOD PRODUCTS .....................................................................................21  </w:t>
        <w:br/>
        <w:t xml:space="preserve">C. THE MARKETS FOR REAL ESTATE ASSET MANAGEMENT ..........................23  </w:t>
        <w:br/>
        <w:t xml:space="preserve">IV. THE COMMITMENTS ......................................................................... 23  </w:t>
        <w:br/>
        <w:t xml:space="preserve">A. THE PROPOSED COMMITMENTS ...........................................................................24  </w:t>
        <w:br/>
        <w:t xml:space="preserve">1. THE COMMITMENTS RELATING TO THE SALE OF THE TARGET STORE'S BUSINESS AND THE COMMERCIAL LEASE TO BE CONCLUDED WITH THE ACQUIRER OF SAID BUSINESS .......................................................................................24  </w:t>
        <w:br/>
        <w:t xml:space="preserve">2. THE COMMITMENTS RELATING TO THE MODIFICATION OF THE ARTICLES OF ASSOCIATION OF THE COMPANY SOCOCONSEILS ........................................................26  </w:t>
        <w:br/>
        <w:t xml:space="preserve">B. ASSESSMENT OF THE PROPOSED COMMITMENTS ...........................................28  </w:t>
        <w:br/>
        <w:t xml:space="preserve">1. APPLICABLE PRINCIPLES .........................................................................................28  </w:t>
        <w:br/>
        <w:t xml:space="preserve">2. ON THE ADEQUACY OF THE PROPOSED MEASURES .....................................................29  </w:t>
        <w:br/>
        <w:t xml:space="preserve">a) On the sale of the target business and the execution of the commercial lease ............................................................................................... 29  </w:t>
        <w:br/>
        <w:t xml:space="preserve">b) On the commitment relating to the modification of the articles of association of the company Sococonseils .............................................................. 31  </w:t>
        <w:br/>
        <w:t xml:space="preserve">On the risk of influence of the Parfait group on the La Batelière shopping center ................................................................................................................31  </w:t>
        <w:br/>
        <w:t xml:space="preserve">On the risk of exchanges of sensitive information between the Parfait group and the acquirer of the target business ...............................................................33  </w:t>
        <w:br/>
        <w:t xml:space="preserve">On the duration of the commitment relating to the articles of association of Sococonseils ..........................................................................................34  </w:t>
        <w:br/>
        <w:t>DECISION ..................................................................................................... 36</w:t>
      </w:r>
    </w:p>
    <w:p>
      <w:r>
        <w:t xml:space="preserve">I. The Companies Concerned and the Operation  </w:t>
        <w:br/>
        <w:t xml:space="preserve">A. THE COMPANIES CONCERNED  </w:t>
        <w:br/>
        <w:t xml:space="preserve">1. The Parfait Group is ultimately controlled by the Parfait family (hereinafter, "the Parfait Group" or "Parfait"). The Parfait Group operates, through various companies primarily active in Martinique and Guadeloupe, activities in automobile distribution, food distribution, and interior decoration. The Parfait Group notably controls the company Socohold, which encompasses the group's food distribution activities. It operates three hypermarkets under the Leclerc brand in Martinique, two of which are located in Lamentin (97 232) and the third in Fort-de-France (97 200).  </w:t>
        <w:br/>
        <w:t xml:space="preserve">2. The target store is a distribution store with a predominant focus on food, which has a sales area of 2,693 m². The target store is located in Martinique and more specifically in the area of the Foyalaise plain (an area corresponding to the territory of the Schœlcher – Fort de France – Le Lamentin conurbation), in the Ozanam – La Batelière shopping center located in Schœlcher (97 233). Prior to the operation, the business of the target store was operated by the company H Alimentation under the Géant Casino brand, and its premises, as well as those of the Ozanam – La Batelière shopping center, were owned by the company H Immobilier. These companies belonged to the Ho Hio Hien group.  </w:t>
        <w:br/>
        <w:t xml:space="preserve">B. THE OPERATION  </w:t>
        <w:br/>
        <w:t xml:space="preserve">1. REMINDER OF THE PROCEDURE  </w:t>
        <w:br/>
        <w:t xml:space="preserve">3. The sale of the La Batelière hypermarket and the shopping gallery in which it is located was first considered in 2019, following the financial difficulties encountered by the Ho Hio Hen group.  </w:t>
        <w:br/>
        <w:t xml:space="preserve">4. As part of this first stage of the procedure, the Parfait Group submitted an offer to acquire both the business of the target hypermarket and the real estate of the shopping gallery.  </w:t>
        <w:br/>
        <w:t xml:space="preserve">5. However, the Parfait Group withdrew, and none of the other offers having succeeded elsewhere, the Ho Hio Hen group requested, at the end of January 2020, the placement of the La Batelière store's business into judicial recovery. In contrast, the case of H Immobilier, the company owning all the real estate of the shopping gallery, which was held in trust for the benefit of private and public creditors, was treated separately, in order to sell the company in good standing.  </w:t>
        <w:br/>
        <w:t xml:space="preserve">6. The company H Alimentation was declared insolvent on February 28, 2020, and was placed into judicial recovery on March 3, 2020.  </w:t>
        <w:br/>
        <w:t xml:space="preserve">7. As part of this second stage of the procedure, the SAFO and Parfait groups each submitted a binding offer for the takeover of this company subject to a suspensive condition.  </w:t>
        <w:br/>
        <w:t>8. On April 10, 2020, the Competition Authority granted a derogation, provided for in Article L. 430-4 of the Commercial Code, to the suspensive effect of the concentration control to the group</w:t>
      </w:r>
    </w:p>
    <w:p>
      <w:r>
        <w:rPr>
          <w:b/>
        </w:rPr>
        <w:t>[Pages 7–9]</w:t>
      </w:r>
    </w:p>
    <w:p>
      <w:r>
        <w:t xml:space="preserve">Parfait regarding its project to acquire the target store. A waiver was also granted to the SAFO group.  </w:t>
        <w:br/>
        <w:t xml:space="preserve">9. On April 15, 2020, the Parfait group acquired the company H Immobilier, and the sale was completed on April 17, 2020.  </w:t>
        <w:br/>
        <w:t xml:space="preserve">10. On April 17, 2020, a hearing was also held to examine the offers for the acquisition of the business assets, within the framework of the judicial recovery of the company H Alimentation, before the mixed commercial court of Fort-de-France. It was then noted that the Parfait group was the only one of the two candidate acquirers able to lift the suspensive condition of its offer, "the suspensive condition of the SAFO company aiming to obtain a rent reduction could hardly be lifted since the Parfait group became the landlord."  </w:t>
        <w:br/>
        <w:t xml:space="preserve">11. Consequently, on April 30, 2020, the mixed commercial court of Fort-de-France ordered the transfer of the assets of the company H Alimentation to the Parfait group.  </w:t>
        <w:br/>
        <w:t xml:space="preserve">12. The Parfait group then planned to operate the target business under the Leclerc brand. The Authority thus considered that this constituted a joint control by the Parfait group and the Association of E. Leclerc Distributor Centers (hereinafter, "ACDLec"), particularly given the contractual links existing between these two operators. This operation was registered under number 19-319 (hereinafter, "file 19-319").  </w:t>
        <w:br/>
        <w:t xml:space="preserve">13. At the end of the first phase of the investigation of file 19-319, the Competition Authority found that the operation raised serious doubts about its impact on competition. In the absence of sufficiently advanced commitments proposed by the parties, an in-depth examination was initiated, pursuant to the last paragraph of III of Article L. 430-5 of the Commercial Code, by decision No. 20-DEX-02 of December 18, 2020, regarding the joint control of the Géant-Casino hypermarket La Batelière by the Parfait group alongside the Association of E. Leclerc Distributor Centers and the exclusive control of the company H Immobilier by the Parfait group.  </w:t>
        <w:br/>
        <w:t xml:space="preserve">14. The investigation services sent a report to the notifying parties on May 12, 2021.  </w:t>
        <w:br/>
        <w:t xml:space="preserve">15. Following this report, ACDLec withdrew from the operation and removed the file as filed in its name. Consequently, the Authority informed the Parfait group that it should "submit an updated notification file, relating to the concentration operation described above and taking into account the withdrawal of ACDLec, within two months from the date of notification of this letter; and that regarding the waiver granted to the Parfait Group on April 10, 2020, and subject to compliance with the requirement described in the second bullet point mentioned above, the new notification file submitted by the Parfait Group under Article L. 430-4 of the Commercial Code will be deemed to replace file No. 19-319."  </w:t>
        <w:br/>
        <w:t xml:space="preserve">3 Judgment of the mixed commercial court of Fort-de-France of April 30, 2020, No. 2020/001278, adopting a transfer plan.  </w:t>
        <w:br/>
        <w:t xml:space="preserve">4 Judgment of the mixed commercial court of Fort-de-France of April 30, 2020, cited above.  </w:t>
        <w:br/>
        <w:t>5 Decision No. 20-DEX-02 of December 18, 2020, regarding the joint control of the Géant-Casino hypermarket La Batelière by the Parfait group alongside the Association of E. Leclerc Distributor Centers and the exclusive control of the company H Immobilier by the Parfait group, paragraph 5.</w:t>
      </w:r>
    </w:p>
    <w:p>
      <w:r>
        <w:t xml:space="preserve">2. THE PRESENT CONCENTRATION OPERATION  </w:t>
        <w:br/>
        <w:t xml:space="preserve">16. On September 23, 2021, the Parfait group again notified the operation to the Competition Authority.  </w:t>
        <w:br/>
        <w:t xml:space="preserve">17. As detailed above, the business assets of the target store, which were held by the company H Alimentation, and the real estate of the shopping gallery in which the hypermarket is located, which was held by the company H Immobilier, were subject to separate acquisitions by the Parfait group.  </w:t>
        <w:br/>
        <w:t xml:space="preserve">18. The acquisition of the business assets of the target store took place on April 30, 2020, by a transfer judgment of the mixed commercial court of Fort-de-France ordering, for the benefit of the Parfait group, the transfer of the intangible and tangible elements of the business assets of the company H Alimentation as well as the transfer of the commercial lease concluded with the company H Immobilier. In this regard, unlike the other hypermarkets of the Parfait group, the target hypermarket is not intended to be integrated into the network operated by ACDLec.  </w:t>
        <w:br/>
        <w:t xml:space="preserve">19. This acquisition is analyzed as an exclusive control of the business assets of the target store by the Parfait group.  </w:t>
        <w:br/>
        <w:t xml:space="preserve">20. The acquisition of the company H Immobilier, which owns the premises of the Ozanam – La Batelière shopping center in which the target store is located, by the Parfait group, took place by transfer deed on April 15, 2020. The transfer deed provides for the sale to the Parfait group of the entirety of the share capital and voting rights of the company H Immobilier.  </w:t>
        <w:br/>
        <w:t xml:space="preserve">21. This acquisition is also analyzed as an exclusive control of the company H Immobilier by the Parfait group.  </w:t>
        <w:br/>
        <w:t xml:space="preserve">22. These two operations also constitute interdependent operations and may, as such, be considered as a single concentration.  </w:t>
        <w:br/>
        <w:t xml:space="preserve">23. Indeed, Recital 20 of Council Regulation (EC) No. 139/2004 of January 20, 2004, concerning the control of concentrations between undertakings (hereinafter, "Regulation No. 139/2004"), specifies that closely linked operations should be treated as a single concentration as they are subject to a conditional link.  </w:t>
        <w:br/>
        <w:t xml:space="preserve">24. The European Commission indicates, in paragraph 40 of the codified Jurisdictional Communication of the Commission regarding Council Regulation (EC) No. 139/2004 concerning the control of concentrations between undertakings (hereinafter, "the European Commission's jurisdictional communication"), that this "general approach reflects [...] the philosophy that, within the framework of the regulation on concentrations, operations that constitute a whole based on the economic objectives pursued by the parties must also be assessed within the framework of a single procedure. In these cases, the modification of the market structure is induced by all these operations taken together."  </w:t>
        <w:br/>
        <w:t xml:space="preserve">25. The guidelines of the Competition Authority regarding the control of concentrations of 2020 (hereinafter, "the guidelines") indicate in paragraph 78 that, "in line with paragraphs 38 and following of the consolidated communication of the Commission," the Authority considers that "multiple operations constitute a single concentration as long as they are interdependent, in the sense that one operation would not have been carried out without the other. Conversely, if the operations are not interdependent, that is to say, in cases where the parties can complete one of the operations even if the others fail, they must be assessed individually and each operation constitutes a distinct concentration."  </w:t>
        <w:br/>
        <w:t xml:space="preserve">26. To be classified as interdependent, the operations must meet three cumulative conditions: (i) there must be a conditional link between the operations, (ii) the operations must be carried out by the same acquirer, and (iii) each operation must constitute, in itself, a concentration.  </w:t>
        <w:br/>
        <w:t xml:space="preserve">27. Regarding the first criterion in particular, to determine whether there is a conditional link between the operations, the Authority takes into account their legal and economic aspects. This conditional link can be demonstrated de jure, that is to say, if the contracts explicitly provide that none of the operations will take place if the others do not occur, but it can also be established de facto. In this case, the determining criterion for assessing the conditional link lies in the economic evaluation of the interdependence between the different operations according to the economic purpose pursued by the parties. In this regard, the mere fact that one of the operations is not, legally, conditioned on the realization of the other is not sufficient to rule out the interdependence of the two operations.  </w:t>
        <w:br/>
        <w:t xml:space="preserve">28. In this case, and first of all, the existence of a conditional link between the operations arises from both factual and legal elements.  </w:t>
        <w:br/>
        <w:t xml:space="preserve">29. First, the overall economic objective pursued by the Parfait group was to acquire, together, the ownership of the real estate and the business assets in order to operate the target store in accordance with its business plan, which involved having control over both the hypermarket and its "walls" and those of the shopping center.  </w:t>
        <w:br/>
        <w:t xml:space="preserve">30. Indeed, the various acquisition offers made by the Parfait group initially included the addition of a drive-through to the target hypermarket. The last acquisition offer for the activities of the company H Alimentation dated April 14, 2020, specifies in this regard, "(...) Furthermore, it is planned to set up a drive-through [at the La Batelière store] to meet the needs of customers on this side of the island. It should be noted that at the Rond Point Shopping Center, the acquirer does not own the real estate housing the commercial activity. It is therefore not authorized to intervene on the real estate arrangements of the Rond Point Center."  </w:t>
        <w:br/>
        <w:t>31. The prospect of carrying out these heavy and costly works therefore implied for the Parfait group that it could control the real estate of the store and the shopping center. In this regard, the notifying party cannot seriously argue that it had the assurance of being able to carry out these arrangements subject to a simple negotiated agreement with the owner of the entire property. It indeed appears from the Parfait group's offer of April 14, 2020, cited above, that it is precisely because it does not own the real estate of the hypermarket located near the Rond-Point that it cannot build a drive-through, such an agreement cannot be assured if the Parfait group does not own the entire property.</w:t>
      </w:r>
    </w:p>
    <w:p>
      <w:r>
        <w:rPr>
          <w:b/>
        </w:rPr>
        <w:t>[Pages 10–12]</w:t>
      </w:r>
    </w:p>
    <w:p>
      <w:r>
        <w:t>32. Furthermore, the economic balance of a shopping center in general, and more particularly that of the Ozanam – La Batelière shopping center, largely depends on the ability of its shopping gallery to attract a flow of customers that will also benefit the hypermarket and, conversely, on the ability of the hypermarket to be sufficiently attractive to draw a flow of customers that will also benefit the shopping gallery.</w:t>
      </w:r>
    </w:p>
    <w:p>
      <w:r>
        <w:t>33. Thus, given the significant cost of the necessary works for the reopening of the store and for enhancing its attractiveness, it is evident that the Parfait Group could not consider them without further guarantees regarding the attractiveness of the shopping gallery and its ability to attract a flow of customers to the target store.</w:t>
      </w:r>
    </w:p>
    <w:p>
      <w:r>
        <w:t>34. Secondly, the Parfait Group has always linked real estate aspects and business assets. Indeed, as detailed in paragraphs 3 and following above, from the first offer submitted in 2019, the Parfait Group envisioned the acquisition of both the business assets of the target hypermarket and the real estate of the shopping gallery. Then, during the second stage of the procedure in 2020, during which the sale of the premises and the business assets were separated, the Parfait Group submitted a takeover offer for the activities of the H Alimentation company, modified several times until April 14, 2020. Each of these offers was conditioned on the acquisition of the real estate asset. Thus, the last offer from the Parfait Group contained the following suspensive condition: "this Offer is expressly conditioned on the transfer of all shares of the H Immobilier company, or on the transfer of the construction lease as well as the transfer of the real estate assets concerning all properties including the hypermarket in favor of [the companies of the Parfait Group]."</w:t>
      </w:r>
    </w:p>
    <w:p>
      <w:r>
        <w:t>35. The suspensive condition for the acquisition of the real estate confirms that the ownership of the premises and the ability to intervene on the real estate of the shopping gallery constituted an essential condition for considering the acquisition of the business assets of the hypermarket. The parties cannot, therefore, claim that the acquisition of said business assets was not subordinate to the completion of the real estate transaction.</w:t>
      </w:r>
    </w:p>
    <w:p>
      <w:r>
        <w:t>36. Thirdly, the chronology of the two transactions allowed the Parfait Group to secure a hold on the fate reserved for the business assets. Indeed, as detailed in paragraphs 3 to 11 above, the H Alimentation company, holder of the business assets of the target store, was placed in judicial recovery on March 3, 2020, and the Parfait Group submitted a takeover offer for the business assets on April 14, 2020, just like the operator SAFO.</w:t>
      </w:r>
    </w:p>
    <w:p>
      <w:r>
        <w:t>37. Thus, on April 15, the day of the signing of the transfer deed of the H Immobilier company, the Parfait Group had the assurance that the business assets of the target store would not be liquidated. Furthermore, as noted by the judgment of the mixed commercial court of Fort-de-France on April 30, 2020, given the acquisition of the premises of the shopping gallery by the Parfait Group, from that date, "the suspensive condition of the SAFO company aimed at obtaining a rent reduction could hardly be lifted since the Parfait Group became the landlord." The Parfait Group cannot therefore credibly argue that the acquisition of the real estate was not linked to the acquisition of the business assets of the hypermarket.</w:t>
      </w:r>
    </w:p>
    <w:p>
      <w:r>
        <w:t>38. Consequently, it follows from these elements of fact and law that the two acquisitions were conditioned.</w:t>
      </w:r>
    </w:p>
    <w:p>
      <w:r>
        <w:t>39. Secondly, the Parfait Group is, in both cases, the operator purchasing the assets concerned by the takeover. It acquired exclusive control of the real estate under a share transfer agreement concluded on April 15, 2020, with Crédit Agricole Corporate and Investment Bank, acting as trustee of the H Immobilier company. The Parfait Group also acquired control of the business assets by judgment of transfer from the mixed commercial court of Fort-de-France on April 30, 2020.</w:t>
      </w:r>
    </w:p>
    <w:p>
      <w:r>
        <w:t>40. Lastly, these two acquisition transactions each constitute a concentration operation within the meaning of 2° of I of Article L. 430-1 of the Commercial Code, as set out in paragraphs 16 to 21 above.</w:t>
      </w:r>
    </w:p>
    <w:p>
      <w:r>
        <w:t>41. Therefore, these two acquisitions present the characteristics of two interdependent concentration operations and thus constitute a single concentration within the meaning of Article L. 430-1 of the Commercial Code.</w:t>
      </w:r>
    </w:p>
    <w:p>
      <w:r>
        <w:t>42. On the day of the completion of the operation, made possible by the exemption granted by the Competition Authority, the companies concerned generated a total worldwide turnover excluding taxes of more than 75 million (Parfait: [≥ 75 million] euros for the fiscal year ending December 31, 2019; target: [≤ 75 million] euros for the same fiscal year, corresponding to the turnover generated by the business assets). Each of these two companies then generated, in Martinique, a turnover exceeding 5 million euros in the retail sector (Parfait: [≥ 5 million] euros for the fiscal year ending December 31, 2019; target: [≥ 5 million] euros for the same fiscal year).</w:t>
      </w:r>
    </w:p>
    <w:p>
      <w:r>
        <w:t>43. Given the turnover generated by the companies concerned, the operation does not fall under the jurisdiction of the European Union. On the other hand, the thresholds mentioned in III of Article L. 430-2 of the Commercial Code are exceeded. This operation is therefore subject to the provisions of Article L. 430-3 and following of the Commercial Code relating to economic concentration.</w:t>
      </w:r>
    </w:p>
    <w:p>
      <w:r>
        <w:t xml:space="preserve">II. Delimitation of Relevant Markets  </w:t>
        <w:br/>
        <w:t xml:space="preserve">44. The parties are simultaneously active in the upstream market for the supply of food products (A) and in the downstream markets for the retail distribution of food products (B). They are also active in the markets for real estate asset management (C).  </w:t>
        <w:br/>
        <w:t xml:space="preserve">A. THE UPSTREAM MARKETS FOR THE SUPPLY OF FOOD PRODUCTS  </w:t>
        <w:br/>
        <w:t xml:space="preserve">1. DELIMITATION OF SERVICE MARKETS  </w:t>
        <w:br/>
        <w:t>45. According to a consistent decision-making practice, companies in the food distribution sector are present, as buyers, in the upstream supply markets, which include the sale of consumer goods from producers to customers such as wholesalers, retailers, or other businesses (for example, cafés/hotels/restaurants).</w:t>
      </w:r>
    </w:p>
    <w:p>
      <w:r>
        <w:t xml:space="preserve">46. Competition authorities usually distinguish as many markets as there are families or groups of products. The following categories have thus been distinguished:  </w:t>
        <w:br/>
        <w:t xml:space="preserve">- fast-moving consumer goods: (1) liquids, (2) drugstore, (3) perfumery and hygiene, (4) dry grocery, (5) parapharmacy, (6) perishable goods in self-service;  </w:t>
        <w:br/>
        <w:t xml:space="preserve">- traditional fresh: (7) delicatessen, (8) fishmonger, (9) fruits and vegetables, (10) bread and fresh pastries, (11) butcher;  </w:t>
        <w:br/>
        <w:t xml:space="preserve">- bazaar: (12) DIY, (13) home, (14) culture, (15) toys, leisure and relaxation, (16) garden, (17) automotive;  </w:t>
        <w:br/>
        <w:t xml:space="preserve">- household appliances, photo, cinema and sound: (18) large household appliances, (19) small household appliances, (20) photo and cinema, (21) hi-fi and sound, (22) TV and video; and  </w:t>
        <w:br/>
        <w:t>- textiles: (23) textiles and shoes.</w:t>
      </w:r>
    </w:p>
    <w:p>
      <w:r>
        <w:t>47. The Competition Authority has also identified a distinct market for the supply of food products intended for large food retailers ("GSA").</w:t>
      </w:r>
    </w:p>
    <w:p>
      <w:r>
        <w:t>48. Furthermore, within this channel, the Authority has considered a sub-segmentation based on the commercial positioning of the product (manufacturer brand "MDF" or distributor brand "MDD").</w:t>
      </w:r>
    </w:p>
    <w:p>
      <w:r>
        <w:t>49. There is no reason to challenge the segmentations retained by the decision-making practice of the Authority in the context of this decision.</w:t>
      </w:r>
    </w:p>
    <w:p>
      <w:r>
        <w:rPr>
          <w:b/>
        </w:rPr>
        <w:t>[Pages 13–15]</w:t>
      </w:r>
    </w:p>
    <w:p>
      <w:r>
        <w:t xml:space="preserve">50. In this case, the parties are simultaneously active as buyers for the supply of their GSA.  </w:t>
        <w:br/>
        <w:t xml:space="preserve">2. DELIMITATION OF GEOGRAPHICAL MARKETS  </w:t>
        <w:br/>
        <w:t xml:space="preserve">51. Competition authorities consider that the geographical delimitation of supply markets is essentially national, while not excluding that, for certain categories of products, the market dimension may, in part, be narrower.  </w:t>
        <w:br/>
        <w:t xml:space="preserve">52. Regarding the overseas departments and regions (hereinafter, "DROM"), the Competition Authority has emphasized the specific nature of supply circuits for consumer goods and its effects on the competitive balance of the concerned markets. Furthermore, part of the supply for food-dominant retail brands comes from local producers, in order to meet local tastes and eating habits, but also to limit import costs, including maritime freight and customs duties. Geographical markets for supply could therefore be limited to each DROM, on one hand, and to the Antilles-Guyane area, on the other hand.  </w:t>
        <w:br/>
        <w:t xml:space="preserve">53. In this case, the parties are simultaneously active in these markets at the national level, in the Antilles-Guyane area, and in Martinique. The analysis will therefore be conducted at these different levels.  </w:t>
        <w:br/>
        <w:t xml:space="preserve">B. THE DOWNSTREAM MARKETS FOR THE DISTRIBUTION OF FOOD-DOMINANT PRODUCTS  </w:t>
        <w:br/>
        <w:t xml:space="preserve">1. DELIMITATION OF SERVICE MARKETS  </w:t>
        <w:br/>
        <w:t xml:space="preserve">54. Regarding the retail sale of everyday consumer goods, the decisional practice consistently distinguishes six categories of commerce using several criteria, including store size, sales techniques, accessibility, the nature of the service provided, and the range of products offered: (i) hypermarkets (legal sales area greater than 2,500 m²), (ii) supermarkets (between 400 and 2,500 m²), (iii) specialized trade, (iv) small retail trade or mini-markets (less than 400 m²), (v) discount stores, and (vi) mail order sales.  </w:t>
        <w:br/>
        <w:t xml:space="preserve">55. Within the small retail trade, small self-service stores are distinguished, offering a narrow assortment of common products (area less than 120 m²), and mini-markets whose product offerings are somewhat more extensive (area between 120 and 400 m²).  </w:t>
        <w:br/>
        <w:t xml:space="preserve">56. It should, however, be recalled that surface thresholds must be used with caution and can be adapted to the specific case, as stores whose area is close to a threshold, either below or above, may find themselves in direct competition with stores of another category.  </w:t>
        <w:br/>
        <w:t xml:space="preserve">57. Moreover, while each store category retains its specificity, asymmetric competition between some of these categories may exist. The Competition Authority has thus consistently distinguished:  </w:t>
        <w:br/>
        <w:t xml:space="preserve">- a market comprising only hypermarkets; and  </w:t>
        <w:br/>
        <w:t xml:space="preserve">- a market comprising supermarkets and equivalent forms of commerce (hypermarkets, discount stores, and popular stores) excluding small retail trade (less than 400 m²).  </w:t>
        <w:br/>
        <w:t xml:space="preserve">58. The Authority considers that the competitive analysis only concerns the second market when the target store is a supermarket. When the target store is a hypermarket, both presented markets are analyzed.  </w:t>
        <w:br/>
        <w:t xml:space="preserve">59. There is no reason to challenge the segmentations retained by the decisional practice of the Authority in the context of this decision.  </w:t>
        <w:br/>
        <w:t xml:space="preserve">60. In this case, the target store has a sales area of 2,693 m². Furthermore, it meets the expected standards of a hypermarket (wide and deep assortment, significant food offering, volumes handled allowing for economies of scale, attractive selling prices, regular and targeted communication actions, presence of parking, etc.). It therefore falls into the category of hypermarkets.  </w:t>
        <w:br/>
        <w:t xml:space="preserve">61. The notifying party does not contest this categorization. The competitive analysis will therefore, on one hand, focus on the relevant market for the supply of hypermarkets and, on the other hand, on the relevant market for the supply of supermarkets and equivalent forms of commerce.  </w:t>
        <w:br/>
        <w:t xml:space="preserve">2. DELIMITATION OF GEOGRAPHICAL MARKETS  </w:t>
        <w:br/>
        <w:t xml:space="preserve">62. The Authority considers that depending on the size of the stores concerned, the conditions of competition are generally assessed over two different areas:  </w:t>
        <w:br/>
        <w:t xml:space="preserve">- a first area ("primary zone") where consumer demand meets the supply of hypermarkets that they can access in less than 30 minutes by car and which are, from their perspective, substitutable with each other;  </w:t>
        <w:br/>
        <w:t xml:space="preserve">- a second area ("secondary zone") where consumer demand meets the supply of supermarkets and other equivalent forms of commerce located within less than 15 minutes by car. These latter forms of commerce may include, in addition to supermarkets, hypermarkets located near consumers and discount stores located in the secondary zone.  </w:t>
        <w:br/>
        <w:t xml:space="preserve">63. The Authority considers that the competitive analysis only concerns the secondary zone when the target store is a supermarket, the primary zone being taken into account only when the target store is a hypermarket.  </w:t>
        <w:br/>
        <w:t xml:space="preserve">64. Other criteria may, however, be taken into account to assess the impact of a concentration on the competitive situation in retail distribution markets, which may lead to refining the usual delimitations in isochrone zones, based for example on the analysis of actual consumer behavior (assessed by examining surveys or calculating diversion ratios) and on the actual footprints of the target store.  </w:t>
        <w:br/>
        <w:t xml:space="preserve">65. In this case, the decisional practice of the Authority has already considered several times that it is appropriate to take into account the local and topographical specificities of Martinique in the delimitation of markets. The Authority has notably considered that the conurbation grouping Fort-de-France, Schœlcher, and Le Lamentin is structured around a very dense transport network and that the catchment areas of food-dominant stores located in this area strongly overlap, justifying the consideration of the Foyal plain as a single catchment area.  </w:t>
        <w:br/>
        <w:t xml:space="preserve">66. The notifying party argues in this regard that the area to be considered for the analysis of the hypermarket supply around the target is an area covering not only the conurbation of the Foyal plain but also, at a minimum, the municipality of Ducos, to the south of it. The Parfait group justifies the inclusion of the Carrefour hypermarket located in Ducos and belonging to the GBH group notably by referencing the reasoning held in decision n° 18-DCC-142 of August 23, 2018, regarding the exclusive control of the companies SDRO and Robert II by the Groupe Bernard Hayot.  </w:t>
        <w:br/>
        <w:t xml:space="preserve">67. However, this analysis must be set aside. While it is not excluded that the hypermarkets of the Foyal plain compete with the hypermarket of Ducos, due to their geographical location and the fact that they constitute an alternative for people working within the Foyal plain and residing in Ducos, the reverse is not established, as the Ducos hypermarket exerts only weak competitive pressure on the hypermarkets of the Foyal plain.  </w:t>
        <w:br/>
        <w:t>68. Indeed, the supply of hypermarkets within the Foyal plain is sufficiently rich not to justify a regular trip to the Carrefour in Ducos. Thus, a consumer from the Foyal plain would have little interest in regularly traveling to the Carrefour in Ducos since they would find at least one hypermarket on their route.</w:t>
      </w:r>
    </w:p>
    <w:p>
      <w:r>
        <w:rPr>
          <w:b/>
        </w:rPr>
        <w:t>[Pages 16–18]</w:t>
      </w:r>
    </w:p>
    <w:p>
      <w:r>
        <w:t xml:space="preserve">Carrefour also belonging to the GBH group (Carrefour Cluny in Schœlcher or Carrefour Dillon in Fort-de-France) offering an assortment similar to that of Carrefour in Ducos.  </w:t>
        <w:br/>
        <w:t xml:space="preserve">69. Consequently, regarding the relevant market for hypermarket offerings, in accordance with the decision-making practice of the Authority, the competitive analysis will be conducted in the geographical area of the Foyal plain, including hypermarkets located in the municipalities of Schœlcher, Fort-de-France, and Le Lamentin.  </w:t>
        <w:br/>
        <w:t xml:space="preserve">70. Regarding the geographical market encompassing the offering of supermarkets and equivalent forms of commerce in the area concerned by the operation, the decision-making practice of the Authority has not definitively resolved this question. In some precedents, the competitive analysis has been conducted based on a 15-minute area around the target point of sale. In contrast, in decision No. 10-DCC-25 of March 19, 2010, concerning the exclusive control of assets of the Louis Delhaize group by H Distribution (Hoio group), the competitive analysis was conducted on a geographical market limited to the Foyal plain, even though the operation concerned stores of less than 2,500 m².  </w:t>
        <w:br/>
        <w:t xml:space="preserve">71. In this case, the inclusion of one of the parties' stores in the 15-minute isochrone area around the target is contested by the notifying party. They believe that the Leclerc hypermarket Place d'Armes, located in the municipality of Lamentin and operated by the Parfait group, should not be included in this area, as it is located, according to the simulations they conducted, more than 15 minutes from the target.  </w:t>
        <w:br/>
        <w:t xml:space="preserve">72. In any case, and without the need to rule on the exact limit of the 15-minute isochrone area around the target point of sale, since the decision-making practice has left the question of defining the market for supermarkets and equivalent stores in the Foyal plain open, it is appropriate to conduct a conservative analysis of the effects of the operation on this market, in order to eliminate any serious doubt about harm to competition. The analysis of the effects of the operation will therefore be carried out over the entire Foyal plain, thus including the Leclerc hypermarket Place d'Armes, which constitutes, in this case, the most conservative approach.  </w:t>
        <w:br/>
        <w:t xml:space="preserve">C. THE MARKETS FOR REAL ESTATE ASSET MANAGEMENT  </w:t>
        <w:br/>
        <w:t xml:space="preserve">1. DELIMITATION OF SERVICE MARKETS  </w:t>
        <w:br/>
        <w:t xml:space="preserve">73. National and European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assisted housing), (iii) the type of activity carried out in the premises (offices, commercial premises, or other activity premises), and (iv) the nature of the services or goods offered.  </w:t>
        <w:br/>
        <w:t xml:space="preserve">74. Regarding segmentation according to the nature of the services or goods offered, the decision-making practice has considered the distinction between:  </w:t>
        <w:br/>
        <w:t xml:space="preserve">(i) real estate promotion, which includes construction and sale activities of real estate;  </w:t>
        <w:br/>
        <w:t xml:space="preserve">(ii) management of real estate assets for one's own account;  </w:t>
        <w:br/>
        <w:t xml:space="preserve">(iii) management of real estate assets for third parties;  </w:t>
        <w:br/>
        <w:t xml:space="preserve">(iv) administration of real estate, which covers the activities of managing properties on behalf of owners and can be segmented between rental management and co-ownership management;  </w:t>
        <w:br/>
        <w:t xml:space="preserve">(v) real estate expertise;  </w:t>
        <w:br/>
        <w:t xml:space="preserve">(vi) real estate consulting;  </w:t>
        <w:br/>
        <w:t xml:space="preserve">(vii) intermediation in real estate transactions, within which a distinction can be made between the sale and rental of properties.  </w:t>
        <w:br/>
        <w:t xml:space="preserve">75. In this case, the parties are simultaneously present in the market for holding and managing real estate assets for their own account of commercial premises, particularly shopping centers.  </w:t>
        <w:br/>
        <w:t xml:space="preserve">76. In this market, the French decision-making practice, while leaving the question open, has considered a segmentation between shopping centers and commercial premises at the foot of buildings, as well as a segmentation of shopping centers according to their size, namely:  </w:t>
        <w:br/>
        <w:t xml:space="preserve">(i) small shopping centers ("PCC"), with a usable commercial area between 5,000 and 20,000 m² and containing between 20 and 40 shops (stores and services);  </w:t>
        <w:br/>
        <w:t xml:space="preserve">(ii) large shopping centers ("GCC"), with a usable commercial area between 20,000 and 40,000 m² and containing between 40 and 80 shops;  </w:t>
        <w:br/>
        <w:t xml:space="preserve">(iii) regional shopping centers ("CCR"), with a usable commercial area greater than 40,000 m² and with more than 80 shops; and  </w:t>
        <w:br/>
        <w:t xml:space="preserve">(iv) specialized theme centers ("CCT"), for example, in home equipment and manufacturer shops.  </w:t>
        <w:br/>
        <w:t xml:space="preserve">77. There is no need to challenge the decision-making practice of the Authority in the context of this decision. In any case, the question of the exact delimitation of these relevant markets can be left open, with the conclusions of the competitive analysis remaining unchanged, regardless of the delimitations adopted.  </w:t>
        <w:br/>
        <w:t xml:space="preserve">78. In this case, the target is active in this market. Indeed, the company H Immobilier owns a property consisting of a hypermarket with an area of 2,693 m² and 24 points of sale with an area of 1,931 m², totaling an area of 4,624 m².  </w:t>
        <w:br/>
        <w:t xml:space="preserve">79. The Parfait group is also active in this market as it owns the La Galleria shopping center, located in the municipality of Lamentin in Martinique. In the Caribbean region, it also owns the company Immo Bas du Fort, which owns the Bas du Fort shopping center in Guadeloupe, where a hypermarket also owned by the Parfait group operates.  </w:t>
        <w:br/>
        <w:t xml:space="preserve">2. DELIMITATION OF GEOGRAPHICAL MARKETS  </w:t>
        <w:br/>
        <w:t xml:space="preserve">80. The decision-making practice has considered that the markets for managing shopping centers for one's own account could be of national or subnational dimension, while leaving the question open.  </w:t>
        <w:br/>
        <w:t xml:space="preserve">81. At the subnational level, in particular, two levels of analysis have so far been retained: the region and the agglomeration, with the analysis generally conducted at the regional level when the size of the urban area is too small to allow for a genuine competitive analysis.  </w:t>
        <w:br/>
        <w:t xml:space="preserve">82. There is no need to challenge the decision-making practice of the Authority in the context of this decision. In any case, the question of the exact geographical delimitation of these markets can be left open, with the conclusions of the competitive analysis remaining unchanged, regardless of the delimitation adopted.  </w:t>
        <w:br/>
        <w:t>83. In this case, the analysis will be conducted at the level of the region and the Foyal plain.</w:t>
      </w:r>
    </w:p>
    <w:p>
      <w:r>
        <w:rPr>
          <w:b/>
        </w:rPr>
        <w:t>[Pages 19–21]</w:t>
      </w:r>
    </w:p>
    <w:p>
      <w:r>
        <w:t xml:space="preserve">III. Competitive Analysis  </w:t>
        <w:br/>
        <w:t xml:space="preserve">84. The operation allows the Parfait Group to acquire a food-dominant business of the hypermarket type located in the municipality of Schœlcher, previously operated under the Géant Casino brand, in the La Batelière shopping center. The Parfait Group has also acquired all the shares comprising the share capital of the company H Immobilier, which owns the La Batelière shopping center.  </w:t>
        <w:br/>
        <w:t xml:space="preserve">85. Market shares have been calculated, in accordance with decision-making practice, based on sales area estimates provided by the notifying party. In this case, the target hypermarket has a sales area of 2,693 m² and the rest of the shopping gallery has a sales area of 1,931 m².  </w:t>
        <w:br/>
        <w:t xml:space="preserve">A. THE UPSTREAM MARKETS FOR SUPPLYING FOOD-DOMINANT PRODUCTS  </w:t>
        <w:br/>
        <w:t xml:space="preserve">1. AT THE NATIONAL LEVEL  </w:t>
        <w:br/>
        <w:t xml:space="preserve">86. Considering the upstream markets for supplying food-dominant products, the change of control of a single hypermarket is not likely to significantly strengthen the purchasing power of the Parfait Group, whether the analysis is conducted across all products or by families or groups of products.  </w:t>
        <w:br/>
        <w:t xml:space="preserve">87. The new entity, following the operation and regardless of the segmentation considered, will hold a purchasing market share of less than 1% in the upstream markets for supplying food-dominant products.  </w:t>
        <w:br/>
        <w:t xml:space="preserve">88. Regarding the supply of private label products, even though the target will not be operated under the Leclerc brand, it may partially source from Leclerc purchasing centers. It cannot therefore be excluded that these supplies cover, at least in part, private label products. In any case, in this market, the market share of the new entity would be less than 1% at the national level in the event that the store is supplied, even partially, by the Leclerc purchasing center.  </w:t>
        <w:br/>
        <w:t xml:space="preserve">89. Consequently, it follows from the above that the operation is not likely to significantly strengthen the purchasing power of the Parfait Group at the national level, across all products or by families or groups of products, regardless of the channels considered.  </w:t>
        <w:br/>
        <w:t xml:space="preserve">2. AT THE LOCAL LEVEL  </w:t>
        <w:br/>
        <w:t xml:space="preserve">90. In the market for supplying large-scale retailers (GSA), the market share of the new entity, as a buyer, at the level of Martinique, is less than 30% across all product categories. These market shares are even lower across all distribution channels, as the target has no other activities in these other channels.  </w:t>
        <w:br/>
        <w:t xml:space="preserve">91. In accordance with the market delimitations considered, it is also necessary to examine whether the operation is likely to strengthen the purchasing power of the Parfait Group by families and groups of products. A concentration operation can indeed harm competition by strengthening a purchasing power that places suppliers of certain categories or families of products in a situation of economic dependence.  </w:t>
        <w:br/>
        <w:t xml:space="preserve">92. In this case, at the level of Martinique, the purchases made by the parties overlap in 10 product categories identified by decision-making practice, mainly belonging to the families of consumer goods and fresh products.  </w:t>
        <w:br/>
        <w:t xml:space="preserve">93. However, for the various product categories for which the parties' purchases overlap, the increment associated with the operation is zero or low, and, according to available information, the share represented by the Parfait Group will remain in most cases below 30%.  </w:t>
        <w:br/>
        <w:t xml:space="preserve">94. Furthermore, for all these product categories, the Parfait Group will continue, in the upstream markets, to face most of its distributor competitors in the downstream markets, including the GBH group, the Créo group, the SAFO group, as well as the GFH group, the Sainte Claire group, and the Pamphile group.  </w:t>
        <w:br/>
        <w:t xml:space="preserve">95. In the Antilles-Guyane area, the market shares of the new entity, and the addition of market shares related to the operation, are systematically lower than those observed in Martinique, regardless of the segmentations considered.  </w:t>
        <w:br/>
        <w:t xml:space="preserve">96. The operation does not therefore seem likely to significantly strengthen the purchasing power of the Parfait Group.  </w:t>
        <w:br/>
        <w:t xml:space="preserve">97. However, it must be taken into account that this strengthening, even if limited, of the purchasing power of the Parfait Group at the local level, resulting from the addition of the market shares of the target hypermarket, occurs in markets where the supply sector is much less concentrated than that of demand. Indeed, in the distribution markets in Martinique, seven distribution groups operate all the large food retail outlets (Parfait, GBH, SAFO, Créo, GFH, Sainte Claire, Pamphile). They address numerous local producers and wholesale importers, of varying sizes, more or less specialized in a family of products, whether or not linked to a distribution group. It cannot therefore be excluded that the operation may create a risk of strengthening economic dependence to the detriment of suppliers, which could have an effect on competition in the various segments of the market for supplying food-dominant products.  </w:t>
        <w:br/>
        <w:t xml:space="preserve">98. In any case, there is no need to further characterize a potential risk in this market since the parties have proposed commitments that will also address the identified competition concerns in the upstream market, at the local level.  </w:t>
        <w:br/>
        <w:t xml:space="preserve">B. THE DOWNSTREAM MARKETS FOR RETAIL DISTRIBUTION OF FOOD-DOMINANT PRODUCTS  </w:t>
        <w:br/>
        <w:t xml:space="preserve">99. As indicated in paragraphs 62 and following above, the competitive analysis focuses on:  </w:t>
        <w:br/>
        <w:t xml:space="preserve">- the market for the supply of supermarkets and equivalent forms of commerce over 400 m² located in the Foyalaise plain;  </w:t>
        <w:br/>
        <w:t xml:space="preserve">- the market for the supply of hypermarkets in the Foyalaise plain.  </w:t>
        <w:br/>
        <w:t xml:space="preserve">100. Before presenting the analysis of the effects of the operation on the downstream markets, it is necessary to assess to what extent the Megastock store should be included among the operators active in the downstream market for retail distribution of food-dominant products.  </w:t>
        <w:br/>
        <w:t xml:space="preserve">1. ASSESSMENT OF THE INCLUSION OF THE MEGASTOCK STORE IN THE DOWNSTREAM MARKET FOR RETAIL DISTRIBUTION OF FOOD-DOMINANT PRODUCTS  </w:t>
        <w:br/>
        <w:t xml:space="preserve">101. The Parfait Group believes that the Megastock store owned by the Créo group should be included in the analysis of the hypermarket supply, as this store has a commercial area of 2,500 m², is located in the municipality of Lamentin, which is a 20-minute drive from the target store, and would exert strong competitive pressure on the hypermarkets in the area.  </w:t>
        <w:br/>
        <w:t xml:space="preserve">102. By way of illustration, the Parfait Group provided an analysis based on price surveys at Megastock and the hypermarkets of the Parfait group operated under the Leclerc brand, which would show that for a substantial portion of the products offered by both operators, the Megastock price is lower than the Leclerc price. Furthermore, the cost of the membership, which conditions the ability to shop at Megastock, would be negligible and would not constitute a barrier to entry.  </w:t>
        <w:br/>
        <w:t xml:space="preserve">103. However, the evidence in the file has highlighted that the Créo group's Megastock store falls under an atypical "warehouse club" model and is, in any case, different from a traditional food retail store. Indeed, the number of product references (approximately 4,000) and the services offered to customers are substantially limited compared to a retail outlet, particularly a hypermarket, products are presented differently (notably on pallets or in large quantities), and the clientele consists of both professionals and individuals, whereas traditional stores are usually intended for individuals.  </w:t>
        <w:br/>
        <w:t xml:space="preserve">104. Moreover, the payment of a membership fee, even if it would not represent a barrier to entry and an insurmountable cost for the consumer, is not customary in traditional distribution models of large food retail outlets. Access to the store is indeed not free as it may be in a traditional retail outlet and may potentially discourage some consumers, who are also less price-sensitive.  </w:t>
        <w:br/>
        <w:t xml:space="preserve">105. Consequently, the Megastock store must be excluded from the competitive analysis of the downstream market for retail distribution of food-dominant products within the Foyalaise plain.  </w:t>
        <w:br/>
        <w:t xml:space="preserve">2. ANALYSIS OF THE DOWNSTREAM MARKETS FOR RETAIL DISTRIBUTION OF FOOD-DOMINANT PRODUCTS  </w:t>
        <w:br/>
        <w:t>106. Regarding the market for the supply of supermarkets and equivalent forms of commerce, in the Foyalaise plain area, the new entity will hold, following the operation, a market share, in sales area, of [50-60]%.</w:t>
      </w:r>
    </w:p>
    <w:p>
      <w:r>
        <w:rPr>
          <w:b/>
        </w:rPr>
        <w:t>[Pages 22–24]</w:t>
      </w:r>
    </w:p>
    <w:p>
      <w:r>
        <w:t xml:space="preserve">107. Also present are two Carrefour hypermarkets from the GBH group, together representing [20-30]% market share, as well as a supermarket from the SAFO group also under the Carrefour brand with a market share of [0-5]%. The Carrefour brand will therefore hold a market share of [20-30]% in this area.  </w:t>
        <w:br/>
        <w:t xml:space="preserve">108. Furthermore, the new entity will face competition from stores under the Auchan brand of the GFH group (two supermarkets located in Fort-de-France and one in Lamentin) together totaling a market share of [5-10]%. The Créo group, through four stores under the Leader Price brand located in Lamentin, Schœlcher, and Fort-de-France, will hold a market share of [10-20]%. Finally, the Pamphile group, through a store under the U Express brand located in Fort-de-France, will hold a market share of [0-5]%.  </w:t>
        <w:br/>
        <w:t xml:space="preserve">109. Regarding the hypermarket market, in the Foyalaise plain area, following the operation, the market will consist of six hypermarkets operated by only two operators. Indeed, two hypermarkets will be owned by the GBH group and operated under the Carrefour brand. As for the Parfait group, it will operate four hypermarkets, three of which will be operated under the Leclerc brand and one under the "Hypermarché La Batelière" brand. Despite the maintenance, after the operation, of three hypermarket brands in the area, the operation of two of them by the same operator necessarily limits any form of competition between them.  </w:t>
        <w:br/>
        <w:t xml:space="preserve">110. In terms of sales area, the market share of the new entity will rise to [60-70]%. The market share of the GBH group will be [30-40]%. The operation therefore significantly strengthens the position of the Parfait group in the hypermarket market in the Foyalaise plain.  </w:t>
        <w:br/>
        <w:t xml:space="preserve">111. Furthermore, while the number of brands remains the same following the operation, the acquisition of the target hypermarket by the Parfait group results in the disappearance of one operator in the hypermarket market in the Foyalaise plain. The target store was indeed operated by the Ho Hio Hen group under the Casino brand. Therefore, there will only be two operators left in the area, the Parfait group (which will operate the three Leclerc stores and the target store) and the GBH group, which leads to a reduction in the diversity of the offer for the consumer and a risk of price increases, or at least a lesser decrease in prices.  </w:t>
        <w:br/>
        <w:t xml:space="preserve">112. These risks are further heightened, in this case, by the geographical proximity of the parties' stores. Indeed, following the operation, the two hypermarkets of Rond-Point and La Batelière, located a short distance from each other, will be owned by the same owner, which will result in the harmonization of the products marketed and the commercial policies of the two points of sale.  </w:t>
        <w:br/>
        <w:t xml:space="preserve">113. Given all the elements mentioned above, the risk of harm to competition due to the operation cannot be ruled out in the downstream markets in the Foyalaise plain. In particular, the operation is likely to raise significant competition issues in the hypermarket market in the Foyalaise plain. The notifying party has proposed commitments that address these competition concerns.  </w:t>
        <w:br/>
        <w:t xml:space="preserve">C. THE MARKETS OF REAL ESTATE ASSET MANAGEMENT  </w:t>
        <w:br/>
        <w:t xml:space="preserve">114. The target is active in the real estate asset management market through the company H Immobilier. This company owns a property consisting of a hypermarket with a sales area of 2,693 m² and 24 retail outlets with a sales area of 1,931 m², totaling a sales area of 4,624 m², located in Schœlcher in the Foyalaise plain. This shopping center is considered, according to the categories identified in the decision-making practice, to belong to the category of "small shopping centers" or "PCC".  </w:t>
        <w:br/>
        <w:t xml:space="preserve">115. The Parfait group is active in the real estate asset management market as the owner of the La Galleria shopping center with a total area of [20,000-30,000] m², located in Lamentin, in the Foyalaise plain. Given its size, this shopping center therefore belongs to the category of "large shopping centers" or "GCC".  </w:t>
        <w:br/>
        <w:t xml:space="preserve">116. The parties have indicated that they do not own any other shopping centers, across all categories, in Martinique.  </w:t>
        <w:br/>
        <w:t xml:space="preserve">117. The activities do not overlap, in Martinique and within the Foyalaise plain, as long as the segmentation according to the size of the shopping centers adopted by the decision-making practice is taken into account.  </w:t>
        <w:br/>
        <w:t xml:space="preserve">118. On the other hand, the activities of the parties overlap when markets for the management of shopping centers for their own account or, more broadly, the management of commercial premises for their own account, are considered in Martinique and within the Foyalaise plain.  </w:t>
        <w:br/>
        <w:t xml:space="preserve">119. In the overall market for the management for their own account of commercial premises, the new entity will have, regardless of the geographical segmentation considered, a market share of less than 30%.  </w:t>
        <w:br/>
        <w:t xml:space="preserve">120. In the more specific market for the management for their own account of shopping centers in Martinique, the combined market share of the parties will be [30-40]%, with a combined market share increase of less than 5 points. In the even narrower market of the Foyalaise plain, the new entity will have a combined market share of [40-50]%, with a combined market share increase of [5-10] points.  </w:t>
        <w:br/>
        <w:t xml:space="preserve">121. Furthermore, in this market, both in Martinique and in the Foyalaise plain, the notifying party will face competition from the GBH group, Cacib, and the Duval group, each operating attractive shopping centers similar to those of the parties (Rond Point shopping center – [5,000-10,000] m², Place d’Armes – [10,000-15,000] m², Cluny – [3,000-5,000] m², Dillon – [5,000-10,000] m²).  </w:t>
        <w:br/>
        <w:t xml:space="preserve">122. Given the elements that have just been presented, the risk of harm to competition due to the operation can be ruled out in the market for the management of shopping centers for their own account.  </w:t>
        <w:br/>
        <w:t xml:space="preserve">IV. The Commitments  </w:t>
        <w:br/>
        <w:t xml:space="preserve">123. In order to address the competition concerns identified by the Competition Authority above, the Parfait group submitted to the investigation services, on July 26, 2022, a proposal for commitments aimed at resolving these competition concerns.  </w:t>
        <w:br/>
        <w:t xml:space="preserve">124. The proposal from the Parfait group includes two components:  </w:t>
        <w:br/>
        <w:t xml:space="preserve">– the sale of the target business to a third party within a period of [confidential] months from the notification of the decision of the Competition Authority to the Parfait group. This sale is intended to be carried out by the Parfait group or by a representative in charge of the sale if the Parfait group has not succeeded in selling the business after a period of [confidential] months;  </w:t>
        <w:br/>
        <w:t xml:space="preserve">– the modification of the articles of association of the company SoCoconseil, now the owner of the premises in which the business is operated. This statutory modification aims to prevent, on the one hand, the Parfait group from exercising control over the company and, on the other hand, any flow of information between the Parfait group and the operator of the business. It will be maintained as long as the sold business is operated within the La Batelière shopping center as a retail store with a predominant focus on food and as long as the Parfait group is a partner in the company SocoConseil, owner of the shopping gallery.  </w:t>
        <w:br/>
        <w:t xml:space="preserve">125. This proposal for commitments has been subject to a market test with the competitors of the parties, following which the parties proposed modifications.  </w:t>
        <w:br/>
        <w:t xml:space="preserve">126. The commitments presented on July 26, 2022, and last modified on December 14, 2022, are those presented in the developments that follow. Their text, attached in the annex, is an integral part of this decision.  </w:t>
        <w:br/>
        <w:t xml:space="preserve">A. THE PROPOSED COMMITMENTS  </w:t>
        <w:br/>
        <w:t xml:space="preserve">1. THE COMMITMENTS RELATING TO THE SALE OF THE TARGET HYPERMARKET BUSINESS AND THE COMMERCIAL LEASE TO BE CONCLUDED WITH THE PURCHASER OF SAID BUSINESS  </w:t>
        <w:br/>
        <w:t xml:space="preserve">127. The Parfait group commits, in the first instance, to sell the business of the target hypermarket to the benefit of a third party before the end of the sale period – that is, a period of [confidential] months from the notification of the decision accepting the commitments.  </w:t>
        <w:br/>
        <w:t xml:space="preserve">128. This sale period is divided into two phases:  </w:t>
        <w:br/>
        <w:t xml:space="preserve">– the first sale period during which the Parfait group will seek to conclude a binding agreement with a third party subject to prior approval by the Authority;  </w:t>
        <w:br/>
        <w:t xml:space="preserve">– upon the expiration of this first phase, a second sale period during which, if the Parfait group has not concluded a sale contract for the business with a third party approved by the Competition Authority, a representative in charge of the sale of the business will be designated.  </w:t>
        <w:br/>
        <w:t>129. The Parfait group commits to ensuring that the sale of the business is made to a third party independent of the notifying party, who must be subject to prior approval by the Competition Authority.</w:t>
      </w:r>
    </w:p>
    <w:p>
      <w:r>
        <w:rPr>
          <w:b/>
        </w:rPr>
        <w:t>[Pages 25–27]</w:t>
      </w:r>
    </w:p>
    <w:p>
      <w:r>
        <w:t>130. The Parfait Group undertakes, secondly, to grant, as the owner of the real estate, a new commercial lease to the third-party acquirer of the business assets, under which the latter will be able to operate the business assets under normal economic and commercial conditions. This lease will be a commercial lease subject to the commercial lease statutes for a minimum duration of 9 years (Article L. 145-4 of the Commercial Code).</w:t>
      </w:r>
    </w:p>
    <w:p>
      <w:r>
        <w:t>131. This new lease will also be accompanied by a promise of renewal, under conditions similar to those of the last expired three-year period, for the entire duration during which the Parfait Group will be the owner of the real estate.</w:t>
      </w:r>
    </w:p>
    <w:p>
      <w:r>
        <w:t>132. The first version of the commitments proposed by the Parfait Group provided that the rent would be composed of two parts: a fixed part, namely a price per m², corresponding to the level observed in the distribution market in Martinique and taking into account, in particular, the investments made and the location of the real estate, which could be supplemented each year by a variable part proportional to the annual turnover generated in the operation of the business assets. Following feedback from the market test, this possibility was removed, and the rent will be exclusively established on a fixed basis, as long as the Parfait Group is the owner of the real estate.</w:t>
      </w:r>
    </w:p>
    <w:p>
      <w:r>
        <w:t>133. Indeed, the commitments now specify that "the rent will be set at 3% of the annual turnover generated by the assignee in the operation of the business assets, as resulting from the accounting elements published in the commercial register by the assignee. The lease will have a minimum annual amount of €18.47/m² (amount of the previous indexed rent). As long as the Notifying Party is the owner of the real estate, only the minimum will be payable by the tenant." This rent will be indexed according to the indices retained by customary practices.</w:t>
      </w:r>
    </w:p>
    <w:p>
      <w:r>
        <w:t>134. The draft lease contract developed between the Parfait Group and the acquirer of the business assets will be submitted for approval by the Authority.</w:t>
      </w:r>
    </w:p>
    <w:p>
      <w:r>
        <w:t>135. In order to preserve the value of the business assets and the shopping center in which it is located, the Parfait Group undertakes to ensure that the owner of the shopping center carries out the works, including those aimed at ensuring compliance with standards and maintenance, and enhancements (painting, lighting, etc.) and arrangements that it deems necessary or that would be its responsibility as owner and lessor, particularly under legal or regulatory safety obligations. Furthermore, the Parfait Group commits to not modify or have modified the configuration and accessibility of the shopping center located in the La Batelière area without the agreement of the operator of the transferred business assets regarding such modifications. Finally, and specifically before the transfer of the business assets to a third party, the Parfait Group commits to preserve the value of both the business assets and the real estate and to ensure that the business assets, not currently operated, remain in condition to guarantee their attractiveness for transfer.</w:t>
      </w:r>
    </w:p>
    <w:p>
      <w:r>
        <w:t>136. In order to preserve the structural effect of these commitments, the Parfait Group undertakes not to acquire direct or indirect influence over all or part of the acquirer operating the business for a period of ten years from the notification of the decision, unless prior agreement from the Competition Authority is obtained.</w:t>
      </w:r>
    </w:p>
    <w:p>
      <w:r>
        <w:t>137. The commitments proposed by the Parfait Group regarding the business assets are accompanied by a modification of the statutes of the company Sococonseils, currently the owner of the premises in which the business assets are operated.</w:t>
      </w:r>
    </w:p>
    <w:p>
      <w:r>
        <w:t>2. COMMITMENTS RELATING TO THE MODIFICATION OF THE STATUTES OF THE COMPANY SOCOCONSEILS</w:t>
      </w:r>
    </w:p>
    <w:p>
      <w:r>
        <w:t>138. The notifying party undertakes that, for the entire duration of the lease, and as long as it is renewed, the management of the lease contract for the business assets will be conducted independently of the Parfait Group.</w:t>
      </w:r>
    </w:p>
    <w:p>
      <w:r>
        <w:t>139. To this end, the Parfait Group has proposed to introduce into the statutes of the company Sococonseils operational rules and a governance mode designed to guarantee the independence of the management of the commercial lease of the business assets from the Parfait Group, and to prevent any transmission of sensitive information related to the activities of the acquirer of the business assets to any entity of the Parfait Group.</w:t>
      </w:r>
    </w:p>
    <w:p>
      <w:r>
        <w:t xml:space="preserve">140. The statutes consequently contain provisions allowing for the distinction between:  </w:t>
        <w:br/>
        <w:t xml:space="preserve">- on the one hand, the holding of ordinary shares ensuring their owner, namely the Parfait Group, primarily financial rights; and  </w:t>
        <w:br/>
        <w:t>- on the other hand, the holding of a preferred share ensuring its owner control over the direction and management of the company and its real estate assets.</w:t>
      </w:r>
    </w:p>
    <w:p>
      <w:r>
        <w:t>141. Thus, Article 13.2 of the statutes provides that the holder of the preferred share, who will be pre-approved by the Authority, holds the sole power to appoint and revoke the president of the company, who himself is solely competent to manage the company and, in particular, its real estate assets. The holder of the preferred share, whether a natural or legal person, will be a distinct and independent entity from the Parfait Group.</w:t>
      </w:r>
    </w:p>
    <w:p>
      <w:r>
        <w:t xml:space="preserve">142. This same provision also specifies that the preferred share grants its holder the following rights:  </w:t>
        <w:br/>
        <w:t xml:space="preserve">- the exclusive power to set the amount of the president's remuneration;  </w:t>
        <w:br/>
        <w:t xml:space="preserve">- the exclusive right to access any information regarding the execution conditions of the commercial lease concerning the retail store with a predominant focus on food operated in the premises of La Batelière;  </w:t>
        <w:br/>
        <w:t xml:space="preserve">- the exclusive right to access any information collected from the tenant of the said retail store with a predominant focus on food regarding its activities within the said premises as well as their results;  </w:t>
        <w:br/>
        <w:t>- the exclusive right to access any information held by the president regarding any mandate that will be entrusted by the company to a professional in the administration and management of commercial leases concerning the retail store with a predominant focus on food, with the clarification that any information related to the management of the leases of the shops in the shopping gallery other than that of the said business assets may be communicated to the owner(s) of the so-called ordinary shares, unless such transmission leads to an exchange of sensitive information between competitors.</w:t>
      </w:r>
    </w:p>
    <w:p>
      <w:r>
        <w:t>143. Following feedback from the market test, the exclusive right of the holder of the preferred share to access any information related to the commercial management of the retail store with a predominant focus on food has been extended to any potential employee of the company by Article 13.2 of the statutes. This clause will appear in their employment contract.</w:t>
      </w:r>
    </w:p>
    <w:p>
      <w:r>
        <w:t>144. Article 12 of the statutes, modified following the market test, states that any change in the holder of the preferred share must be subject to prior approval by the Authority. The approval will also concern the person of the assignee, particularly when he is appointed following the implementation of the exclusion procedure for disagreement between the owner of the preferred share and the partners holding ordinary shares as provided for in Article 14 of the statutes.</w:t>
      </w:r>
    </w:p>
    <w:p>
      <w:r>
        <w:t>145. The rights and obligations attached to the preferred share will be maintained as long as the Parfait Group is a partner of the company owning the real estate and that a retail activity with a predominant focus on food is carried out within the aforementioned premises owned by the company, regardless of the format of the retail activity with a predominant focus on food that will be operated there.</w:t>
      </w:r>
    </w:p>
    <w:p>
      <w:r>
        <w:t>146. If either of these two circumstances is no longer verified, the preferred share will be immediately and automatically converted into an ordinary share of the company. The Authority will verify that the conditions for such conversion are indeed met. In this case, the president of the company will be appointed and revoked by an ordinary decision adopted by the partner(s) holding more than half of the shares making up the share capital, who may also decide on his remuneration. All specific rights attached to the preferred share will become void.</w:t>
      </w:r>
    </w:p>
    <w:p>
      <w:r>
        <w:t>147. Article 15 of the statutes details the powers of the president of the company Sococonseils, who is thus appointed by the holder of the preferred share after approval by the Authority (Article 13.2 of the statutes). The president of the company directs and administers the company. To this end, he is vested with the broadest powers to act in all circumstances on behalf of the company within the limits of its corporate purpose. He also represents the company to third parties.</w:t>
      </w:r>
    </w:p>
    <w:p>
      <w:r>
        <w:t>148. The president is appointed for an unlimited duration but may, however, be revoked at any time by the owner of the preferred share, and exclusively by him.</w:t>
      </w:r>
    </w:p>
    <w:p>
      <w:r>
        <w:t>149. The president will receive a remuneration defined by the owner of the preferred share. The statutes specify a remuneration range.</w:t>
      </w:r>
    </w:p>
    <w:p>
      <w:r>
        <w:t>150. Thus, the statutes formalize the obligation undertaken by the notifying party within the framework of the commitments concerning the maintenance of the value of the business assets and the attractiveness of the shopping center. They provide that the president may have all works carried out, including those aimed at ensuring compliance with standards, maintenance, enhancement works (painting, lighting, etc.) and arrangements that he deems necessary or that would be his responsibility as the representative of the owning and leasing company, particularly under the legal or regulatory safety obligations incumbent on the company. He must, however, refrain from modifying or having modified the configuration and accessibility of the shopping center, unless agreed upon by the tenant of the business assets regarding such modifications.</w:t>
      </w:r>
    </w:p>
    <w:p>
      <w:r>
        <w:t>151. The first version of the statutes also specified that the president of the company "may not initiate in the name and on behalf of the company other works whose cost would exceed an individual amount of One Hundred Thousand Euros Excluding Taxes (€100,000 HT), and/or a cumulative total amount over a rolling period of six (6) months exceeding Three Hundred Thousand Euros Excluding Taxes (€300,000 HT), without having obtained prior written agreement from the partner(s) holding alone or together more than two-thirds (2/3) of the ordinary shares issued by the company."</w:t>
      </w:r>
    </w:p>
    <w:p>
      <w:r>
        <w:rPr>
          <w:b/>
        </w:rPr>
        <w:t>[Pages 28–30]</w:t>
      </w:r>
    </w:p>
    <w:p>
      <w:r>
        <w:t>publiés au registre du commerce par le cessionnaire » permet de garantir que le montant du loyer sera déterminé de manière transparente et objective, réduisant ainsi le risque d’échanges d’informations sensibles.</w:t>
      </w:r>
    </w:p>
    <w:p>
      <w:r>
        <w:t>176. En ce qui concerne la durée du bail commercial, les engagements prévoient une durée minimale de 9 ans, ce qui est conforme aux pratiques du marché et permet de garantir la stabilité nécessaire pour le repreneur du fonds de commerce.</w:t>
      </w:r>
    </w:p>
    <w:p>
      <w:r>
        <w:t>177. Enfin, le groupe Parfait s’engage à ne pas exercer d’influence sur le repreneur pendant une période de dix ans, ce qui renforce la séparation entre les deux entités et contribue à maintenir une concurrence effective sur le marché.</w:t>
      </w:r>
    </w:p>
    <w:p>
      <w:r>
        <w:t>178. En conclusion, les engagements proposés par le groupe Parfait, comprenant des mesures structurelles et comportementales, semblent adéquats pour remédier aux atteintes à la concurrence identifiées et garantir le maintien d’une concurrence suffisante sur les marchés concernés.</w:t>
      </w:r>
    </w:p>
    <w:p>
      <w:r>
        <w:rPr>
          <w:b/>
        </w:rPr>
        <w:t>[Pages 31–33]</w:t>
      </w:r>
    </w:p>
    <w:p>
      <w:r>
        <w:t>published in the commercial register by the assignee" to calculate this rent eliminates any risk of sensitive information exchanges between competitors, since the rent is calculated based on publicly available data. Finally, and in any case, as long as the Parfait Group owns the commercial premises in which the business is operated, the rent will be set based on a fixed price of €18.47 per m², thus eliminating any exchange of information between the Parfait Group and the operator of the business. This minimum price, which ensures that the remuneration received by the Parfait Group will not be correlated with the performance of its competitor, is similar to those found in the commercial leases concluded by the Parfait Group for commercial premises of equivalent size and is therefore proportionate.</w:t>
      </w:r>
    </w:p>
    <w:p>
      <w:r>
        <w:t>176. These commitments related to the commercial lease thus establish long-term guarantees for the acquirer of the business in its relationship with its landlord, as long as the Parfait Group remains the owner of the premises in which the business is operated.</w:t>
      </w:r>
    </w:p>
    <w:p>
      <w:r>
        <w:t>177. In light of all these elements, the Competition Authority considers that this commitment proposed by the notifying party is sufficient to eliminate the risks of harm to competition resulting from the operation.</w:t>
      </w:r>
    </w:p>
    <w:p>
      <w:r>
        <w:t>b) On the commitment regarding the amendment of the articles of association of the company Sococonseils</w:t>
      </w:r>
    </w:p>
    <w:p>
      <w:r>
        <w:t>178. The commitment regarding the amendment of the articles of association of the company Sococonseils aims to guarantee the independence of the acquirer of the business from the Parfait Group, in two respects: it prevents any attempt by the Parfait Group to interfere in the management of the shopping center, thereby diminishing the performance of the business, while also eliminating the risks of exchanges of sensitive information.</w:t>
      </w:r>
    </w:p>
    <w:p>
      <w:r>
        <w:t>On the risk of influence of the Parfait Group on the La Batelière shopping center</w:t>
      </w:r>
    </w:p>
    <w:p>
      <w:r>
        <w:t>179. As a preliminary point, it should be noted that these commitments are not intended to intervene in the general management conditions of the shopping center, which remain solely the responsibility of the company Sococonseils. Such a commitment, which was requested by a respondent to the market test, would indeed be excessive in this case as less binding commitments can remedy the identified competition issues, as will be demonstrated below.</w:t>
      </w:r>
    </w:p>
    <w:p>
      <w:r>
        <w:t>180. Indeed, the transfer of a preferred share to a third party outside the Parfait Group, previously approved by the Competition Authority, to whom the powers related to the appointment and dismissal of the president of the company – also independent of the Parfait Group – would be exclusively granted, combined with the other amendments to the articles of association, prevents any control or influence of the Parfait Group over the real estate asset and, consequently, over the conduct of the contractual relationship with the operator of the business.</w:t>
      </w:r>
    </w:p>
    <w:p>
      <w:r>
        <w:t>181. One of the respondents to the market test considers that it appears from the articles of association of the company Sococonseils that the holder of the preferred share would actually have, apart from the designation of the president, no powers beyond mere information.</w:t>
      </w:r>
    </w:p>
    <w:p>
      <w:r>
        <w:t>182. However, it appears from Article 13.2 of the articles of association that the holder of the preferred share has multi-level powers over the president of the company Sococonseils: it is he who appoints him, he alone who can revoke him, and finally he who decides on his remuneration.</w:t>
      </w:r>
    </w:p>
    <w:p>
      <w:r>
        <w:t>183. It is then said president who directs and administers the company. To this end, he is vested with the broadest powers to act in all circumstances on behalf of the company, within the limits of the corporate purpose and subject to the powers granted to the partners by legal provisions or the present articles of association of the company Sococonseils.</w:t>
      </w:r>
    </w:p>
    <w:p>
      <w:r>
        <w:t>184. It is notably the president who may decide to undertake works on behalf of and for the account of the company, aimed in particular at ensuring compliance with standards, maintenance, or any embellishment works (painting, lighting, etc.) and arrangements that he deems necessary or that would fall to him in his capacity as representative of the owning and leasing company. This prerogative is essential as the attractiveness of the shopping gallery depends on that of the food-dominant retail store, and vice versa.</w:t>
      </w:r>
    </w:p>
    <w:p>
      <w:r>
        <w:t>185. Following feedback from the market test which indicated that the Parfait Group's control over the works to be carried out for the benefit of the real estate asset would make any sustainable operation of the business difficult, the powers of the president have been strengthened regarding decisions concerning this type of work to be carried out. Indeed, the Parfait Group has proposed to raise the thresholds set out in the articles of Sococonseils (see paragraphs 151 and 152 above) for which the president is the only one able to decide on works, without having to obtain the agreement of the partners of the company. These thresholds are now as follows: "the president of the company may not initiate on behalf of and for the account of the company other works whose cost would exceed an individual amount of Two Hundred Thousand Euros Excluding Taxes (€200,000 HT), and/or a total cumulative amount over a rolling period of six (6) months exceeding Four Hundred Thousand Euros Excluding Taxes (€400,000 HT), without having obtained the prior written agreement of the partner(s) holding alone or together more than two-thirds (2/3) of the ordinary shares issued by the company."</w:t>
      </w:r>
    </w:p>
    <w:p>
      <w:r>
        <w:t>186. By way of indication, since the construction of the shopping center in 1997, only one decision has led to works valued above these thresholds. This is thus an exceptional situation in the course of the life of the shopping center. This clause of the articles does not therefore confer on the Parfait Group the power to make strategic decisions for Sococonseils, but is merely a mechanism to protect its financial interest as a shareholder. The requirement placed on the president to seek positive profitability does not undermine this analysis, as it is merely an obligation of means, imposing on the president a legitimate obligation, namely the pursuit of economic performance in the management of the shopping center.</w:t>
      </w:r>
    </w:p>
    <w:p>
      <w:r>
        <w:t>187. Furthermore, in order to protect the operator of the business, the president may not modify or have modified the configuration or accessibility of the shopping center, except with the agreement of the tenant of the business regarding such modifications. Article 15 indeed specifies that "the president must refrain from modifying, or having modified, the configuration or accessibility of the shopping center located in the Batelière district, within the territory of the municipality of Schœlcher (97) of which the Company is the owner, except with the agreement of the tenant of the food-dominant retail business […] regarding such modifications," under penalty of automatic revocation of his corporate mandate.</w:t>
      </w:r>
    </w:p>
    <w:p>
      <w:r>
        <w:t>188. Finally, one of the respondents to the market test believes that the articles allow the president to delegate all or part of his powers to other administrative bodies, which could then be linked to the Parfait Group. However, the creation of such administrative bodies would require an amendment to the articles of the company Sococonseils. Now, the commitments provide that any amendment to the articles or any contractual documentation likely to modify the governance or functioning of the company Sococonseils is subject to the prior agreement of the Competition Authority as long as the Parfait Group is the owner of the real estate asset. Thus, in the event that such a situation were envisaged by the parties, the Authority would be able to ensure that the commitments of the Parfait Group are not circumvented and that the independence of the control and management of the company in relation to the Parfait Group is always guaranteed. Article 15 of the commitments also provides that the president may delegate the powers he deems appropriate and appoint special representatives. Such power should be exercised in accordance with the objective of these commitments, namely to ensure the independence of the management of the shopping center from the Parfait Group and to prevent any circulation of information between the Parfait Group and the acquirer.</w:t>
      </w:r>
    </w:p>
    <w:p>
      <w:r>
        <w:t>189. Consequently, it follows from the combination of the prerogatives of the holder of the preferred share and the president of the company that they are vested with the daily management and control of the company Sococonseils in complete independence from the Parfait Group. The approval of the holder of the preferred share and the president by the Authority reinforces the guarantee of their independence from the notifying party. In this regard, contrary to what one of the respondents to the market test indicates, it does not appear necessary for third parties to express their opinion on the identity of the holder of the preferred share, the Authority's approval providing sufficient control over his independence.</w:t>
      </w:r>
    </w:p>
    <w:p>
      <w:r>
        <w:t>190. One of the respondents also noted that the holder of the preferred share could easily be revoked by the procedure described in Article 14 of the articles. However, the articles specify that in the event of the revocation of the holder of the preferred share for disagreement, by a decision taken by the partner(s) holding alone or together more than two-thirds of the ordinary shares, the new owner of the preferred share must also be approved by the Competition Authority. This mechanism thus ensures, at all times, the independence of the holder of the preferred share from the Parfait Group as long as this group remains the owner of the real estate asset, while guaranteeing the proper functioning of the company Sococonseils, which could see its activity compromised in the event of disagreement between its shareholders. The definition of disagreement retained in this case is sufficiently restrictive to prevent the Parfait Group from making abusive use of it, as it requires the existence of a "manifest lack of diligence in the exercise by the holder of the [preferred share] of the rights conferred upon him."</w:t>
      </w:r>
    </w:p>
    <w:p>
      <w:r>
        <w:t>191. Similarly, regarding the transfer of the preferred share, it is subject to the prior agreement of the Competition Authority. To avoid any risk of circumvention of this obligation, the articles have been amended to also subject to the prior agreement of the Authority any change of holder of the preferred share, regardless of the type of transfer envisaged.</w:t>
      </w:r>
    </w:p>
    <w:p>
      <w:r>
        <w:t>192. These provisions thus allow the Authority to ensure the independence of the holder of the preferred share in the event of a change of its holder, regardless of the procedure followed.</w:t>
      </w:r>
    </w:p>
    <w:p>
      <w:r>
        <w:t>193. In light of all these elements, the Competition Authority considers that this commitment proposed by the notifying party is sufficient to eliminate the risks of influence of the Parfait Group over the real estate asset and over the management of the contractual relationship with the acquirer of the target business.</w:t>
      </w:r>
    </w:p>
    <w:p>
      <w:r>
        <w:t>On the risk of exchanges of sensitive information between the Parfait Group and the acquirer of the target business</w:t>
      </w:r>
    </w:p>
    <w:p>
      <w:r>
        <w:t>194. The articles in their amended version also allow for the prevention of any risk of exchanges of sensitive information between the Parfait Group and the operator of the business.</w:t>
      </w:r>
    </w:p>
    <w:p>
      <w:r>
        <w:t>195. First of all, Article 13.2 of the articles specifies that the holder of the preferred share will have exclusive access to the information held by the president of the company on the</w:t>
      </w:r>
    </w:p>
    <w:p>
      <w:r>
        <w:rPr>
          <w:b/>
        </w:rPr>
        <w:t>[Pages 34–36]</w:t>
      </w:r>
    </w:p>
    <w:p>
      <w:r>
        <w:t>conditions for the execution of the commercial lease of the target business premises, as well as on the activities of the acquirer of the business operated within said premises. He will also have exclusive access to any information held by the president of the company regarding any mandate that may be entrusted by the company to a professional in the administration and management of commercial leases concerning the business premises as well as the management of the leases of the shops in the shopping gallery if this transmission leads to an exchange of sensitive information between competitors.</w:t>
      </w:r>
    </w:p>
    <w:p>
      <w:r>
        <w:t>196. This provision has been extended to all employees of the company Sococonseils in response to feedback from the market test. This modification thus prevents any circulation of information to the Parfait Group regarding the acquirer of the business and the management conditions of the commercial lease, in the event that employees are hired by the company Soconseils.</w:t>
      </w:r>
    </w:p>
    <w:p>
      <w:r>
        <w:t>197. Similarly, regarding the rent, the first version of the commitments proposed by the Parfait Group provided for a rent composed of a fixed part and a variable part proportional to the annual turnover generated in the context of the operation of the business.</w:t>
      </w:r>
    </w:p>
    <w:p>
      <w:r>
        <w:t>198. However, this provision, which is not systematic in commercial leases of this type, could have allowed for the circulation of sensitive information from the operator of the business to the notifying party, as highlighted by some respondents to the market test.</w:t>
      </w:r>
    </w:p>
    <w:p>
      <w:r>
        <w:t>199. As mentioned in paragraphs 174 and 175 above, the new version of the commitments thus removes the variable part linked to the turnover generated by the operator of the business as long as the Parfait Group remains the owner of the real estate. This modification thus eliminates any risk of exchanges of information between the Parfait Group and the acquirer of the target business.</w:t>
      </w:r>
    </w:p>
    <w:p>
      <w:r>
        <w:t>200. These elements therefore guarantee the absence of transmission of sensitive information within the meaning of competition law from the acquirer of the business to the notifying party.</w:t>
      </w:r>
    </w:p>
    <w:p>
      <w:r>
        <w:t>On the duration of the commitment relating to the statutes of Sococonseils</w:t>
      </w:r>
    </w:p>
    <w:p>
      <w:r>
        <w:t>201. It follows from the commitments proposed by the notifying party that the rights and obligations incumbent upon the holder of the preferential share will only be lifted in the event of the transfer of the real estate to a third party that is not a competitor of the business or as long as the transferred business is operated as a retail store with a predominant focus on food. The Authority will ensure that one or the other of these conditions is met when such a modification is made.</w:t>
      </w:r>
    </w:p>
    <w:p>
      <w:r>
        <w:t>202. Following feedback from the market test, this provision has been strengthened in the final version of the commitments proposed by the notifying party, as it specifies that only the transfer of the real estate to a third party not controlled by the Parfait Group and which is commercially autonomous from it can justify such a modification. It is also specified that this statutory organization will be maintained, regardless of the format of the store operated by the transferred business. These additions contribute to increasing the guarantees offered to the operator of the business regarding the absence of intervention by the Parfait Group in the management of the real estate asset in which it will be operated.</w:t>
      </w:r>
    </w:p>
    <w:p>
      <w:r>
        <w:t>203. In order to ensure the effectiveness of this commitment, the statutes of Sococonseils cannot, moreover, be modified without the agreement of the Authority. To avoid circumvention of this provision, it has been extended to all contractual documentation likely to modify the governance or functioning of the company Sococonseils (for example, a shareholders' agreement).</w:t>
      </w:r>
    </w:p>
    <w:p>
      <w:r>
        <w:t>204. The modification of the statutes of Sococonseils, which has a lasting character, therefore guarantees, in a structural manner, the effectiveness of the transfer of the food-focused business of La Batelière to a third party independent of the Parfait Group by eliminating any risk of interference by the Parfait Group in the operation of said business.</w:t>
      </w:r>
    </w:p>
    <w:p>
      <w:r>
        <w:t>***</w:t>
      </w:r>
    </w:p>
    <w:p>
      <w:r>
        <w:t>205. In light of all these elements, the Competition Authority considers that the commitments proposed by the notifying party eliminate the risks of harm to competition resulting from the operation.</w:t>
      </w:r>
    </w:p>
    <w:p>
      <w:r>
        <w:t xml:space="preserve">DECISION  </w:t>
        <w:br/>
        <w:t xml:space="preserve">Sole Article: The operation notified under number 21-221 is authorized subject to the commitments described above and annexed to this decision.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