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https://www.autoritedelaconcurrence.fr/fr/decision-de-controle-des-concentrations/relative-la-prise-de-controle-exclusif-de-lunion-mutualiste</w:t>
      </w:r>
    </w:p>
    <w:p>
      <w:r>
        <w:t>Pages translated : 2</w:t>
      </w:r>
    </w:p>
    <w:p/>
    <w:p>
      <w:r>
        <w:rPr>
          <w:b/>
        </w:rPr>
        <w:t>[Pages 1–2]</w:t>
      </w:r>
    </w:p>
    <w:p>
      <w:r>
        <w:t xml:space="preserve">FRENCH REPUBLIC  </w:t>
        <w:br/>
        <w:t xml:space="preserve">Decision No. 20-DCC-109 of September 4, 2020  </w:t>
        <w:br/>
        <w:t xml:space="preserve">regarding the exclusive control acquisition of the Union Mutualiste for the Management of the Mutualist Hospital Group of Grenoble by the Doctegestio group  </w:t>
        <w:br/>
        <w:t xml:space="preserve">The Competition Authority,  </w:t>
        <w:br/>
        <w:t xml:space="preserve">Having regard to the complete notification file sent to the mergers department on August 17, 2020, concerning the exclusive control acquisition of the Union Mutualiste for the Management of the Mutualist Hospital Group of Grenoble by the Doctegestio group, formalized by a promise of membership dated July 31, 2020;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Union Mutualiste for the Management of the Mutualist Hospital Group of Grenoble, active in the market for the provision of diagnostics and hospital care and in the market for follow-up and rehabilitation care in the Rhône-Alpes region, by the Doctegestio group.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20-126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