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https://www.autoritedelaconcurrence.fr/fr/decision-de-controle-des-concentrations/relative-la-prise-de-controle-exclusif-de-mademoiselle</w:t>
      </w:r>
    </w:p>
    <w:p>
      <w:r>
        <w:t>Pages translated : 2</w:t>
      </w:r>
    </w:p>
    <w:p/>
    <w:p>
      <w:r>
        <w:rPr>
          <w:b/>
        </w:rPr>
        <w:t>[Pages 1–2]</w:t>
      </w:r>
    </w:p>
    <w:p>
      <w:r>
        <w:t xml:space="preserve">FRENCH REPUBLIC  </w:t>
        <w:br/>
        <w:t xml:space="preserve">Decision No. 18-DCC-107 of July 4, 2018  </w:t>
        <w:br/>
        <w:t xml:space="preserve">regarding the exclusive control acquisition of Mademoiselle Desserts SAS  </w:t>
        <w:br/>
        <w:t xml:space="preserve">by Alphaone International SARL  </w:t>
        <w:br/>
        <w:t>The Competition Authority,</w:t>
      </w:r>
    </w:p>
    <w:p>
      <w:r>
        <w:t>Having regard to the complete notification file submitted to the mergers department on June 14, 2018, concerning the exclusive control acquisition of Mademoiselle Desserts by Alphaone International SARL, formalized by a transfer agreement dated April 29, 2018;</w:t>
      </w:r>
    </w:p>
    <w:p>
      <w:r>
        <w:t>Having regard to Book IV of the Commercial Code relating to the freedom of prices and competition, and in particular its Articles L. 430-1 to L. 430-7;</w:t>
      </w:r>
    </w:p>
    <w:p>
      <w:r>
        <w:t>Adopts the following decision:</w:t>
      </w:r>
    </w:p>
    <w:p>
      <w:r>
        <w:t>1. The notified operation consists of an exclusive control acquisition of the company Mademoiselle Desserts SAS by the company Alphaone International SARL, ultimately owned by the IK VIII and IK VIII SCP funds. It constitutes a concentration within the meaning of Article L. 430-1 of the Commercial Code. Given the turnover achieved by the concerned companies, the notification thresholds of Article 1 paragraph 2 of Regulation (EC) 139/2004 are not exceeded. The operation therefore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2. The markets concerned by the operation are those of bakery-pastry, fresh catering products, and bakery-pastry equipment, which are consistently defined by the decision-making practice of the Competition Authority.</w:t>
      </w:r>
    </w:p>
    <w:p>
      <w:r>
        <w:t>3. Regardless of the segmentations retained, the addition of the market shares of the parties does not exceed 2 points.</w:t>
      </w:r>
    </w:p>
    <w:p>
      <w:r>
        <w:t>4. Considering the elements of the file and in particular point 398 of the guidelines of the Competition Authority relating to the control of concentrations, the operation is not likely to harm competition.</w:t>
      </w:r>
    </w:p>
    <w:p>
      <w:r>
        <w:t xml:space="preserve">DECIDES  </w:t>
        <w:br/>
        <w:t xml:space="preserve">Sole Article: The operation notified under number 18-102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