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https://www.autoritedelaconcurrence.fr/fr/decision-de-controle-des-concentrations/relative-la-prise-de-controle-exclusif-de-mark-iv-systemes</w:t>
      </w:r>
    </w:p>
    <w:p>
      <w:r>
        <w:t>Pages translated : 4</w:t>
      </w:r>
    </w:p>
    <w:p/>
    <w:p>
      <w:r>
        <w:rPr>
          <w:b/>
        </w:rPr>
        <w:t>[Pages 1–3]</w:t>
      </w:r>
    </w:p>
    <w:p>
      <w:r>
        <w:t xml:space="preserve">FRENCH REPUBLIC  </w:t>
        <w:br/>
        <w:t xml:space="preserve">Decision No. 11-DCC-111 of July 25, 2011  </w:t>
        <w:br/>
        <w:t>regarding the exclusive control of Mark IV Systèmes Moteurs SAS by Sogefi SpA</w:t>
      </w:r>
    </w:p>
    <w:p>
      <w:r>
        <w:t xml:space="preserve">The Competition Authority,  </w:t>
        <w:br/>
        <w:t xml:space="preserve">Having regard to the notification file submitted in full to the merger service on June 22, 2011, regarding the acquisition of exclusive control of Mark IV Systèmes Moteurs SAS by Sogefi SpA;  </w:t>
        <w:br/>
        <w:t xml:space="preserve">Having regard to Book IV of the Commercial Code relating to the freedom of prices and competition, and in particular Articles L. 430-1 to L. 430-7;  </w:t>
        <w:br/>
        <w:t>Adopts the following decision:</w:t>
      </w:r>
    </w:p>
    <w:p>
      <w:r>
        <w:t xml:space="preserve">I. The companies concerned and the operation  </w:t>
        <w:br/>
        <w:t xml:space="preserve">1. Sogefi, an Italian group listed on the Milan stock exchange, is involved in the production and sale of automotive parts, particularly parts for filtration systems for engines and cabins (notably air filters) and flexible parts for suspensions (springs, torsion and stabilization bars in particular). Sogefi is controlled by the Italian industrial group CIR, a subsidiary of the Benedetti group, which is ultimately controlled by Mr. Carlo de Benedetti.  </w:t>
        <w:br/>
        <w:t xml:space="preserve">2. Mark IV Systèmes Moteurs SAS (hereinafter "Mark IV Systèmes Moteurs") is exclusively controlled by the Italian company Dayco Europe, a subsidiary of the American company Mark IV (hereinafter "Mark IV"). It is active in the manufacture and sale of automotive parts, notably parts for air intake systems (intake manifolds, low-pressure ducts, air filters, and high-pressure ducts) and parts for cooling systems (water ducts, water outlet housings, water pumps, and degassing housings).  </w:t>
        <w:br/>
        <w:t>3. By a transfer agreement dated June 20, 2011, the parties agreed that Sogefi would acquire the entirety of the capital of Mark IV Systèmes Moteurs from Dayco Europe and Mark IV.</w:t>
      </w:r>
    </w:p>
    <w:p>
      <w:r>
        <w:t>4. The companies concerned together achieve a worldwide turnover excluding tax of more than 150 million euros (Mr. Carlo de Benedetti: [...] billion euros in 2010; Mark IV Systèmes Moteurs: [...] million euros for the same fiscal year). Each of the companies concerned achieves a turnover in France exceeding 50 million euros (Mr. Carlo de Benedetti: [...] million euros for the fiscal year ending December 31, 2010; Mark IV Systèmes Moteurs: [...] million euros for the same fiscal year). Given these turnovers, the operation does not have a European dimension. However, the control thresholds mentioned in I of Article L. 430-2 of the Commercial Code are exceeded. The concentration is therefore subject to the provisions of Articles L. 430-3 and following of the Commercial Code relating to economic concentration.</w:t>
      </w:r>
    </w:p>
    <w:p>
      <w:r>
        <w:t xml:space="preserve">II. Definition of the relevant markets  </w:t>
        <w:br/>
        <w:t xml:space="preserve">5. The parties manufacture and sell components for motor vehicles. They are only simultaneously active in the air filter market.  </w:t>
        <w:br/>
        <w:t xml:space="preserve">A. THE AIR FILTER MARKET  </w:t>
        <w:br/>
        <w:t xml:space="preserve">6. In the automotive equipment sector, the community and national decision-making practice considers that each type of part can constitute a relevant market in the absence of substitutability between different types of parts.  </w:t>
        <w:br/>
        <w:t>7. The practice has already considered the existence of a filter market. In a decision of October 29, 2001, the European Commission determined that it was possible to segment the filter market between oil filters, diesel filters, gasoline filters, and air filters. The latter filters, which are parts of the engine's air intake system, serve to eliminate impurities present in the air entering the engine. Air filters consist of a housing, the filter itself, and low-pressure ducts. However, the parties believe that it is not necessary to further segment the air filter market between their different components, as their customers (automobile manufacturers) only purchase integrated filters. Furthermore, the parties do not manufacture the same components of the filters: Mark IV Systèmes Moteurs manufactures housings and low-pressure ducts but acquires the filters themselves from third parties; Sogefi manufactures filters but acquires the housings and low-pressure ducts from third parties.</w:t>
      </w:r>
    </w:p>
    <w:p>
      <w:r>
        <w:t xml:space="preserve">8. The community and national decision-making practice has furthermore distinguished, in decisions related to the automotive equipment sector, between original equipment markets (OEM – Original Equipment Manufacturer) and spare parts distributed by manufacturer networks (OES – Original Equipment Services) on one hand, and markets comprising spare parts distributed by large retail networks or vehicle maintenance specialists (IAM – Independent Aftermarket) on the other hand. In this case, the parties are simultaneously active through the OEM and OES distribution channels, with Mark IV Systèmes Moteurs not being present in the IAM market.  </w:t>
        <w:br/>
        <w:t xml:space="preserve">9. The community practice has also considered segmenting product markets in the sector based on the type of vehicle to which the automotive part is integrated, distinguishing between passenger vehicles and light commercial vehicles on one hand and heavy trucks on the other hand. In this case, the parties are present in the segment of passenger vehicles and light commercial vehicles.  </w:t>
        <w:br/>
        <w:t>10. There is no need to challenge these definitions in the context of this decision. The operation will therefore be analyzed in the air filter market for light vehicles sold by OEM/OES.</w:t>
      </w:r>
    </w:p>
    <w:p>
      <w:r>
        <w:t xml:space="preserve">B. THE GEOGRAPHICAL DIMENSION OF THE AIR FILTER MARKET  </w:t>
        <w:br/>
        <w:t xml:space="preserve">11. In this case, the overlap of activity between the parties exists only at the community level, as Sogefi is not present in the air filter market in France.  </w:t>
        <w:br/>
        <w:t xml:space="preserve">12. In the field of automotive spare parts, the decision-making practice consistently considers that the OEM/OES markets should be regarded as at least community in dimension, as automotive parts manufacturers operate throughout Europe and there are no technical standards or other regulatory barriers to trade within the European Economic Area, nor any customs barriers between Member States.  </w:t>
        <w:br/>
        <w:t>13. The operation will therefore be analyzed in a market of community dimension.</w:t>
      </w:r>
    </w:p>
    <w:p>
      <w:r>
        <w:t xml:space="preserve">III. Competitive analysis  </w:t>
        <w:br/>
        <w:t>14. The parties provided an estimate in terms of units sold of the European market for air filters for light vehicles sold by OEMs, based on the number of engines sold in 2010, each engine including an air filter. They deduced that this market represents approximately 19 million air filters in the European Union.</w:t>
      </w:r>
    </w:p>
    <w:p>
      <w:r>
        <w:rPr>
          <w:b/>
        </w:rPr>
        <w:t>[Pages 4–4]</w:t>
      </w:r>
    </w:p>
    <w:p>
      <w:r>
        <w:t>15. In this market, Sogefi holds a market share by volume of approximately [0-5]% (i.e., approximately […] parts sold in 2010) and Mark IV Systèmes Moteurs holds a market share of [0-5]% (i.e., approximately […] parts sold in 2010). The cumulative market share of the parties is therefore [5-10]%.</w:t>
      </w:r>
    </w:p>
    <w:p>
      <w:r>
        <w:t>16. Consequently, the operation is not likely to harm competition.</w:t>
      </w:r>
    </w:p>
    <w:p>
      <w:r>
        <w:t>DECIDES</w:t>
      </w:r>
    </w:p>
    <w:p>
      <w:r>
        <w:t>Sole Article: The operation notified under number 11-0115 is authorized.</w:t>
      </w:r>
    </w:p>
    <w:p>
      <w: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