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https://www.autoritedelaconcurrence.fr/fr/decision-de-controle-des-concentrations/relative-la-prise-de-controle-exclusif-de-medical-insurance</w:t>
      </w:r>
    </w:p>
    <w:p>
      <w:r>
        <w:t>Pages translated : 6</w:t>
      </w:r>
    </w:p>
    <w:p/>
    <w:p>
      <w:r>
        <w:rPr>
          <w:b/>
        </w:rPr>
        <w:t>[Pages 1–3]</w:t>
      </w:r>
    </w:p>
    <w:p>
      <w:r>
        <w:t>FRENCH REPUBLIC</w:t>
        <w:br/>
        <w:t>Decision No. 14-DCC-13 of February 5, 2014</w:t>
        <w:br/>
        <w:t>regarding the exclusive control of Medical Insurance Company</w:t>
        <w:br/>
        <w:t>by MMA IARD Assurance Mutuelles</w:t>
        <w:br/>
        <w:t>The Competition Authority,</w:t>
        <w:br/>
        <w:t>Having regard to the notification file submitted in full to the merger service on January 3, 2014,</w:t>
        <w:br/>
        <w:t>regarding the exclusive control of Medical Insurance Company by MMA IARD</w:t>
        <w:br/>
        <w:t>Assurance Mutuelles;</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concerned companies and the operation</w:t>
        <w:br/>
        <w:t>1. Covéa is a mutual insurance group company ("SGAM") whose main activity</w:t>
        <w:br/>
        <w:t>consists, in accordance with the provisions of Article L. 322-1-2 of the Insurance Code, of</w:t>
        <w:br/>
        <w:t>taking and managing stakes in insurance or reinsurance companies or establishing and managing</w:t>
        <w:br/>
        <w:t>important and lasting solidarity links with mutuals, provident institutions, mutual insurance</w:t>
        <w:br/>
        <w:t>companies, or insurance or reinsurance companies in mutual or cooperative form or with joint</w:t>
        <w:br/>
        <w:t>management.</w:t>
        <w:br/>
        <w:t>2. In accordance with the provisions of Article L. 322-1-3 of the Insurance Code, SGAM</w:t>
        <w:br/>
        <w:t>Covéa maintains important and lasting financial solidarity links that do not result from financial</w:t>
        <w:br/>
        <w:t>participations with the companies affiliated to it. SGAM Covéa is linked by affiliation agreements</w:t>
        <w:br/>
        <w:t>with the following companies:</w:t>
        <w:br/>
        <w:t>- the companies MMA IARD Assurances Mutuelles (hereinafter "MMA IARD AM"), MMA Vie</w:t>
        <w:br/>
        <w:t>Assurances Mutuelles, DAS Assurances Mutuelles, Finistère, and SMI, which form the</w:t>
        <w:br/>
        <w:t>MMA group. MMA IARD AM offers home, automobile, mutual, and legal or financial protection</w:t>
        <w:br/>
        <w:t>insurance products to individuals, professionals, businesses, local authorities, and associations;</w:t>
      </w:r>
    </w:p>
    <w:p>
      <w:r>
        <w:t>- the mutual insurance company MAAF Assurances, the mutual MAAF Santé, Agpis, and</w:t>
        <w:br/>
        <w:t>the union Force et Santé, which form the MAAF group;</w:t>
        <w:br/>
        <w:t>- the companies Garantie Mutuelle des Fonctionnaires et employés de l’Etat et des services</w:t>
        <w:br/>
        <w:t>publics et assimilés (hereinafter "GMF") and Assurances Mutuelles de France (hereinafter</w:t>
        <w:br/>
        <w:t>"AM"), which form the AM-GMF group.</w:t>
        <w:br/>
        <w:t>3. The main mutuals linked to Covéa contributed, at the end of 2012, their insurance subsidiaries</w:t>
        <w:br/>
        <w:t>and almost all of their holdings to the intermediate holding company Covéa Participations (the</w:t>
        <w:br/>
        <w:t>entity formed by these companies and SGAM Covéa being hereinafter referred to as the "Covéa</w:t>
        <w:br/>
        <w:t>group"). The three mutual groups each hold one-third of the capital of Covéa Participations today.</w:t>
        <w:br/>
        <w:t>4. The Covéa group is active in the sectors of insurance, provident insurance, life insurance,</w:t>
        <w:br/>
        <w:t>asset management, bancassurance brokerage, and in the sector of internet portals concerning health.</w:t>
        <w:br/>
        <w:t>5. Medical Insurance Company (hereinafter "MIC") is a company governed by Irish law subject to</w:t>
        <w:br/>
        <w:t>the fluctuating control of its shareholders. Its capital is divided among MMA IARD AM (35%),</w:t>
        <w:br/>
        <w:t>Pembroke European Holdings Ltd. (32.5%), and Mare Nostrum (25%), with the remainder held</w:t>
        <w:br/>
        <w:t>by two individuals. MIC operates in medical liability insurance under the authorization of the</w:t>
        <w:br/>
        <w:t>Central Bank of Ireland. MIC insures liberal and mixed practitioners of heavy technical platforms,</w:t>
        <w:br/>
        <w:t>that is to say, practitioners operating in the operating room (surgeons, anesthetists-resuscitators,</w:t>
        <w:br/>
        <w:t>gynecologists-obstetricians) for damages that may be caused in the context of their activities of</w:t>
        <w:br/>
        <w:t>prevention, diagnosis, and care. MIC conducts its business in free provision of services primarily</w:t>
        <w:br/>
        <w:t>from Dublin to France. Its insurance policies are exclusively distributed by the firm Branchet, an</w:t>
        <w:br/>
        <w:t>insurance broker specialized in liberal and mixed practitioners of heavy technical platforms.</w:t>
        <w:br/>
        <w:t>6. The operation consists of increasing MMA IARD AM's stake in the capital of MIC. This</w:t>
        <w:br/>
        <w:t>increase results from [confidential].</w:t>
        <w:br/>
        <w:t>7. Insofar as it results in the exclusive control of MIC by MMA IARD AM, the operation</w:t>
        <w:br/>
        <w:t>constitutes a concentration within the meaning of Article L. 430-1 of the Commercial Code.</w:t>
        <w:br/>
        <w:t>8. The concerned companies together achieve a total worldwide turnover of more than 150 million</w:t>
        <w:br/>
        <w:t>euros (Covéa group: 14.7 billion euros for the fiscal year ending December 31, 2012; MIC: […] euros</w:t>
        <w:br/>
        <w:t>for the same period). Each achieves a turnover in France exceeding 50 million euros (Covéa group:</w:t>
        <w:br/>
        <w:t>13.1 billion euros for the fiscal year ending December 31, 2012; MIC: […] euros for the same period).</w:t>
        <w:br/>
        <w:t>Given these turnover figures, the operation does not have a community dimension. However, the</w:t>
        <w:br/>
        <w:t>control thresholds mentioned in point I of Article L. 430-2 of the Commercial Code are exceeded.</w:t>
        <w:br/>
        <w:t>This operation is therefore subject to the provisions of Articles L. 430-3 and following of the</w:t>
        <w:br/>
        <w:t>Commercial Code relating to economic concentration.</w:t>
        <w:br/>
        <w:t>1 (i) MMA IARD Assurances Mutuelles, DAS Assurances Mutuelles for the MMA group, (ii) Assurances Mutuelles de France and GMF</w:t>
        <w:br/>
        <w:t>for the AM-GMF group, and (iii) MAAF Santé and MAAF Assurances for the MAAF group.</w:t>
        <w:br/>
        <w:t>2</w:t>
      </w:r>
    </w:p>
    <w:p>
      <w:r>
        <w:t>II. Delimitation of Relevant Markets</w:t>
        <w:br/>
        <w:t>A. PRODUCT OR SERVICE MARKETS</w:t>
        <w:br/>
        <w:t>9. Within the insurance sector, decision-making practice consistently distinguishes between personal</w:t>
        <w:br/>
        <w:t>insurance and property and liability insurance, each of which can in turn be segmented into as many</w:t>
        <w:br/>
        <w:t>markets as there are insurances covering different types of risks or types of contracts, insofar as,</w:t>
        <w:br/>
        <w:t>from the demand perspective, these insurances or contracts differ and are not substitutable. Regarding</w:t>
        <w:br/>
        <w:t>the personal insurance market, a further segmentation can be made between group insurance contracts,</w:t>
        <w:br/>
        <w:t>concluded between an insurer and a subscriber distinct from the beneficiary, and individual insurance</w:t>
        <w:br/>
        <w:t>contracts for which the subscriber is also the beneficiary. Similarly, regarding the property and liability</w:t>
        <w:br/>
        <w:t>insurance market, a further segmentation can be made between insurance for individuals and insurance</w:t>
        <w:br/>
        <w:t>for professionals.</w:t>
        <w:br/>
        <w:t>10. Among the property and liability insurances for professionals, decision-making practice has</w:t>
        <w:br/>
        <w:t>identified a market for automobile fleet insurance, transport insurance, industrial risk insurance,</w:t>
        <w:br/>
        <w:t>legal protection insurance, credit operations, construction insurance, professional property insurance,</w:t>
        <w:br/>
        <w:t>work accident insurance, and professional liability insurance.</w:t>
        <w:br/>
        <w:t>11. In this case, the Covéa group and MIC are simultaneously active in the professional liability</w:t>
        <w:br/>
        <w:t>insurance market.</w:t>
        <w:br/>
        <w:t>12. The notifying party believes that it is appropriate to distinguish a market for medical liability</w:t>
        <w:br/>
        <w:t>distinct from other segments of professional liability. It indicates in this regard that medical liability</w:t>
        <w:br/>
        <w:t>insurance requires the establishment and placement of technical provisions, given the significant risks</w:t>
        <w:br/>
        <w:t>and the knowledge of the actual cost of claims which can take several years. Medical liability insurance</w:t>
        <w:br/>
        <w:t>would represent a so-called "long development" risk given the limitation periods and claims settlement</w:t>
        <w:br/>
        <w:t>delays. It adds that medical liability insurance is not a mass insurance like automobile or fire insurance</w:t>
        <w:br/>
        <w:t>and its parameters can vary according to the characteristics of each insurer's portfolio.</w:t>
        <w:br/>
        <w:t>13. The notifying party also considers that it is appropriate to distinguish a segment of medical liability</w:t>
        <w:br/>
        <w:t>insurance for practitioners of heavy technical platforms from other segments of professional liability.</w:t>
      </w:r>
    </w:p>
    <w:p>
      <w:r>
        <w:rPr>
          <w:b/>
        </w:rPr>
        <w:t>[Pages 4–6]</w:t>
      </w:r>
    </w:p>
    <w:p>
      <w:r>
        <w:t>within the medical liability insurance market. It indicates that the insured risks for practitioners of heavy technical platforms are specific insofar as they are few but particularly severe (death, stroke, paralysis, anaphylactic shock, neurological complications, notably). Conversely, the risks for other medical practitioners are generally less severe (deafness, tinnitus, fractures, unsatisfactory aesthetic results, discomfort, burns, unrecognized wounds, notably) and more numerous. It further indicates that the risks related to practitioners of heavy technical platforms must be individualized in the accounts of insurance companies. According to the notifying party, the latter cannot indeed mutualize the risks among the different categories of doctors insofar as such mutualization would imply overcharging for the low and numerous risks such as those of general practitioners to lower the premiums of practitioners of heavy technical platforms. In such a situation, doctors facing less severe risks would turn to other insurance companies.</w:t>
      </w:r>
    </w:p>
    <w:p>
      <w:r>
        <w:t>14. Finally, the notifying party believes that a distinction should be made between the medical liability insurance contracts of practitioners of heavy technical platforms, taken out individually by liberal and mixed practitioners, and the insurance contracts taken out by the establishments (hospitals, clinics) in which the practitioners working on the heavy technical platform are employees.</w:t>
      </w:r>
    </w:p>
    <w:p>
      <w:r>
        <w:t>15. The question of the exact definition of the professional liability market can, however, be left open insofar as the conclusions of the competitive analysis will remain unchanged regardless of the market segmentation adopted.</w:t>
      </w:r>
    </w:p>
    <w:p>
      <w:r>
        <w:t>16. In this case, the Covéa group and MIC both offer medical liability insurance contracts. Only MIC offers liability insurance contracts to practitioners of heavy technical platforms (exclusively to liberal and mixed practitioners), since, as specified by the Covéa group, it has not offered such contracts since the early 2000s, although it continues, through MMA IARD AM, to honor contracts concluded previously, without renewing them upon expiration.</w:t>
      </w:r>
    </w:p>
    <w:p>
      <w:r>
        <w:t>B. GEOGRAPHICAL DELIMITATION OF MARKETS</w:t>
      </w:r>
    </w:p>
    <w:p>
      <w:r>
        <w:t>17. Except for certain insurances covering large-scale risks, decision-making practice considers that insurance markets are of national dimension given consumer preferences, the existence of national legislation and tax constraints, the current structure of these markets, or the regulatory systems concerning this sector of activity.</w:t>
      </w:r>
    </w:p>
    <w:p>
      <w:r>
        <w:t>18. There is no need to challenge this delimitation in the context of this decision.</w:t>
      </w:r>
    </w:p>
    <w:p>
      <w:r>
        <w:t>19. The notifying party believes that the markets for medical liability insurance and medical liability insurance for practitioners of heavy technical platforms are also of national dimension.</w:t>
      </w:r>
    </w:p>
    <w:p>
      <w:r>
        <w:t>20. In this case, the question of the exact delimitation of these markets can be left open insofar as the conclusions of the competitive analysis will remain unchanged regardless of the delimitation adopted.</w:t>
      </w:r>
    </w:p>
    <w:p>
      <w:r>
        <w:t>III. Competitive Analysis</w:t>
      </w:r>
    </w:p>
    <w:p>
      <w:r>
        <w:t>A. ANALYSIS OF HORIZONTAL EFFECTS</w:t>
      </w:r>
    </w:p>
    <w:p>
      <w:r>
        <w:t>21. In the market for professional liability insurance, the market share in value of the parties for the year 2012 is around [5-10]% for the Covéa group and around [0-5]% for MIC. The new entity will face competition from companies with significant market shares, such as Axa (approximately [20-30]%), Allianz (approximately [10-20]%), or the mutual group SMABTP (approximately [10-20]%).</w:t>
      </w:r>
    </w:p>
    <w:p>
      <w:r>
        <w:t>22. When only considering the activities of medical liability insurance, the market share in value of the parties for the year 2012 is around [0-5]% for the Covéa group and around [10-20]% for MIC. The new entity will face competition from companies with significant market shares such as SHAM (approximately [40-50]%), MACSF (approximately [20-30]%), or Axa (approximately [10-20]%).</w:t>
      </w:r>
    </w:p>
    <w:p>
      <w:r>
        <w:t>23. When only considering the activities of medical liability insurance for liberal and mixed practitioners of heavy technical platforms, MIC has a market share in volume for the year 2012 of around [40-50]%. However, the operation does not result in any overlap of activity, as the Covéa group has not offered this type of contracts since the early 2000s. The notifying party specifies that the number of insurance contracts for liberal and mixed practitioners of heavy technical platforms that the Covéa group (via MMA IARD AM) continues to honor until expiration was in 2012 […] out of a total of nearly 15,000 liberal and mixed practitioners of heavy technical platforms in France.</w:t>
      </w:r>
    </w:p>
    <w:p>
      <w:r>
        <w:t>24. It follows from the above that the proposed operation is not likely to harm competition through horizontal effects.</w:t>
      </w:r>
    </w:p>
    <w:p>
      <w:r>
        <w:t>B. ANALYSIS OF CONGLOMERATE EFFECTS</w:t>
      </w:r>
    </w:p>
    <w:p>
      <w:r>
        <w:t>25. A concentration has conglomerate effects when the new entity extends or strengthens its presence in several markets whose connection may allow it to increase its market power.</w:t>
      </w:r>
    </w:p>
    <w:p>
      <w:r>
        <w:t>26. In this case, MIC markets insurance services to liberal and mixed practitioners of heavy technical platforms. However, the existence of synergies between these activities and those of other types of medical liability insurance is unlikely, given the specificities of the insured risks and the absence of mutualization of these risks in the accounts of insurers. The implementation of a leverage effect does not therefore appear plausible in this case.</w:t>
      </w:r>
    </w:p>
    <w:p>
      <w:r>
        <w:t>27. In any event, other significant companies are able to offer liability insurance services for all medical activities and for all types of health professionals, such as SHAM, MACSF, or the Groupe Pasteur Mutualité (via its subsidiary Panacea Assurances).</w:t>
      </w:r>
    </w:p>
    <w:p>
      <w:r>
        <w:t>28. Consequently, the proposed operation is not likely to harm competition through conglomerate effects.</w:t>
      </w:r>
    </w:p>
    <w:p>
      <w:r>
        <w:t>DECIDES</w:t>
      </w:r>
    </w:p>
    <w:p>
      <w:r>
        <w:t>Sole Article: The operation notified under number 13-247 is authorized.</w:t>
      </w:r>
    </w:p>
    <w:p>
      <w:r>
        <w:t>The President,</w:t>
        <w:br/>
        <w:t>Bruno Lasserre</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