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https://www.autoritedelaconcurrence.fr/fr/decision-de-controle-des-concentrations/relative-la-prise-de-controle-exclusif-de-mfpprevoyance-par</w:t>
      </w:r>
    </w:p>
    <w:p>
      <w:r>
        <w:t>Pages translated : 5</w:t>
      </w:r>
    </w:p>
    <w:p/>
    <w:p>
      <w:r>
        <w:rPr>
          <w:b/>
        </w:rPr>
        <w:t>[Pages 1–3]</w:t>
      </w:r>
    </w:p>
    <w:p>
      <w:r>
        <w:t>FRENCH REPUBLIC</w:t>
        <w:br/>
        <w:t>Decision No. 10-DCC-138 of October 19, 2010</w:t>
        <w:br/>
        <w:t>regarding the exclusive control of MFPrévoyance by CNP Assurances</w:t>
        <w:br/>
        <w:t>The Competition Authority,</w:t>
        <w:br/>
        <w:t>Having regard to the notification file submitted in full to the concentrations service on September 17, 2010, regarding the acquisition of control of MFPrévoyance by CNP, formalized by a memorandum of understanding dated July 30, 2010;</w:t>
        <w:br/>
        <w:t>Having regard to Book IV of the Commercial Code relating to price freedom and competition, and in particular Articles L. 430-1 to L. 430-7;</w:t>
        <w:br/>
        <w:t>Having regard to the supplementary elements transmitted by the parties during the investigation;</w:t>
        <w:br/>
        <w:t>Adopts the following decision:</w:t>
        <w:br/>
        <w:t>I. The companies concerned and the operation</w:t>
        <w:br/>
        <w:t>1. CNP Assurances, a public limited company governed by the Insurance Code (hereinafter "CNP") is active in the sectors of savings, retirement, and risk insurance both in individual and group insurance. It also operates in the markets of dependency and personal services. CNP is 39.99% owned by the Caisse des Dépôts et Consignations, 35.48% by the holding Sopassure (which is itself 50.1% owned by La Banque Postale and 49.9% by BPCE), and 1.09% by the State. The remaining share of the capital, 23.43%, is held by the public. It follows from this capital distribution as well as the statutes of CNP that it is not controlled exclusively or jointly by any of its shareholders.</w:t>
        <w:br/>
        <w:t>2. MFPrévoyance SA, a public limited company governed by the Insurance Code (hereinafter "MFPrévoyance"), is active in the personal insurance sector and more specifically in death, funeral, incapacity, or disability insurance, and in the dependency sector. MFPrévoyance is 76.76% owned by La Mutualité de la Fonction Publique Services, a union governed by the Mutuality Code (hereinafter "MFP Services"), and 23.24% by eight mutuals (hereinafter "the Mutualist Partners"): the General Mutual of Economy, Finance and Industry (hereinafter "MGEFI"), the Mutual of the Ministry of Justice (hereinafter "MMJ"), the Civil Defense Mutual (hereinafter "MCDEF"), the National Aviation Marine Mutual (hereinafter "MNAM"), the Family Mutual France and Overseas (hereinafter "MFFOM"), the Mutual of CDC Personnel (hereinafter "MPCDC"), the SMAR Mutual, and the Central Finance Mutual. These mutuals all adhere to the mutual union MFP Services.</w:t>
        <w:br/>
        <w:t>3. The memorandum of understanding dated July 30, 2010, provides for the acquisition of MFPrévoyance by CNP.</w:t>
        <w:br/>
        <w:t>4. Upon completion of the transaction, CNP will hold 49% of the capital and voting rights of a newly created company, the "Mixed Holding," a simplified joint-stock company whose sole purpose will be to hold a stake in MFPrévoyance. The balance of the capital and voting rights will be held 26.88% by MFP Services, 33.90% by MGEFI, 12.50% by MMJ, 12.50% by MCDEF, 10% by MNAM, 2.13% by MFFOM, and 2.08% by MPCPDC.</w:t>
        <w:br/>
        <w:t>5. CNP, the Mixed Holding, and MFP Services will hold respectively 51%, 28%, and 21% of the capital and voting rights of MFPrévoyance. The minority shareholders will not hold veto rights that would grant them control over the company. Indeed, the management board of MFPrévoyance will consist of three members, two of whom will be chosen from candidates proposed by CNP – including the President – and one from candidates proposed by MFP Services and the Mutualist Partners, who will also be the general director. Decisions will be made by simple majority. The supervisory board of MFPrévoyance will include six members chosen by CNP, three by the Mutualist Partners, and two by MFP Services. It will make its decisions by simple majority. Its agreement will be necessary to validate significant investments decided by the Management Board. CNP will therefore exercise exclusive control over MFPrévoyance.</w:t>
        <w:br/>
        <w:t>6. As it results in the exclusive control of MFPrévoyance by CNP, the notified operation constitutes a concentration operation within the meaning of Article L.430-1 of the Commercial Code.</w:t>
        <w:br/>
        <w:t>7. The companies concerned together achieve a total worldwide turnover of more than 150 million euros (CNP: 32.586 billion euros in 2009; MFPrévoyance: […] million euros). Each achieves, in France, a turnover exceeding 50 million euros (CNP: 26.288 billion euros; MFPrévoyance: the turnover mentioned above is entirely generated in France). Given these turnover figures, this operation does not have a community dimension. However, the thresholds mentioned in I of Article L. 430-2 of the Commercial Code are exceeded. The present operation is therefore subject to the provisions of Article L.430-3 and following of the Commercial Code relating to economic concentration.</w:t>
        <w:br/>
        <w:t>II. Delimitation of relevant markets</w:t>
        <w:br/>
        <w:t>8. The parties to the operation are simultaneously active in the personal insurance sector. They also offer products or services ancillary to personal insurance contracts or for the benefit of the insured.</w:t>
      </w:r>
    </w:p>
    <w:p>
      <w:r>
        <w:t>A. DELIMITATION OF PRODUCT AND SERVICE MARKETS</w:t>
        <w:br/>
        <w:t>9. Within the insurance sector, national and community competition authorities consistently distinguish between personal insurance and property and liability insurance, each of which can in turn be segmented into as many markets as there are insurances covering different types of risks, insofar as, from the demand perspective, insurances covering these different risks are not substitutable. Regarding the personal insurance market, an additional segmentation can be made between group insurance contracts, concluded between an insurer and a policyholder distinct from the beneficiary, and individual insurance contracts for which the policyholder is also the beneficiary. Similarly, regarding the property and liability insurance market, an additional segmentation can be made between insurances aimed at individuals and insurances aimed at professionals.</w:t>
        <w:br/>
        <w:t>10. In this case, the parties to the operation are simultaneously active, in terms of personal insurance, in the segment of group insurance, MFPrévoyance not offering individual insurance.</w:t>
        <w:br/>
        <w:t>11. Group insurance encompasses insurance products intended to cover beneficiaries against a loss of income in the event of an accident, death, long illness, disability, incapacity, or job loss through the payment of compensation in the form of a capital sum or an annuity. For reasons of profitability of the overall offer, the same insurance contract generally covers multiple risks.</w:t>
        <w:br/>
        <w:t>12. However, the decision-making practice has considered analyzing borrower insurance separately, which is insurance taken out by an individual in connection with a mortgage or consumer credit. It constitutes a temporary insurance that guarantees the repayment of the credit in the event of the occurrence of a number of risks related to human life. Borrower insurance generally includes death coverage, total and irreversible loss of autonomy coverage, incapacity/disability coverage, and job loss coverage. In this case, the parties are simultaneously active in collective borrower insurance, knowing that individual contracts have so far remained relatively rare for this type of product.</w:t>
        <w:br/>
        <w:t>13. Likewise, it could be considered to distinguish dependency insurance that covers individuals against the risk of loss of autonomy, providing for the payment of an annuity or capital if the risk materializes. This type of product has recently emerged but could quickly experience dynamic evolution in the coming years, due to...</w:t>
      </w:r>
    </w:p>
    <w:p>
      <w:r>
        <w:rPr>
          <w:b/>
        </w:rPr>
        <w:t>[Pages 4–5]</w:t>
      </w:r>
    </w:p>
    <w:p>
      <w:r>
        <w:t xml:space="preserve">the extension of life expectancy 6. Dependency insurance contracts can theoretically be subscribed individually or through group contracts. However, for now, group contracts remain marginal.  </w:t>
        <w:br/>
        <w:t xml:space="preserve">14. In this case, the question of segmenting collective insurance to distinguish between borrower insurance and dependency insurance can, however, be left open, in the absence of competitive issues regardless of the solution adopted.  </w:t>
        <w:br/>
        <w:t xml:space="preserve">B. DELIMITATION OF GEOGRAPHICAL MARKETS  </w:t>
        <w:br/>
        <w:t xml:space="preserve">15. With the exception of certain insurances covering large-scale risks, insurance markets have been considered to be of national dimension given consumer preferences, the existence of legislation, and national tax constraints, the current structure of these markets, or even regulatory systems.  </w:t>
        <w:br/>
        <w:t xml:space="preserve">III. Competitive Analysis  </w:t>
        <w:br/>
        <w:t xml:space="preserve">16. In a global market for collective insurance, CNP holds a market share of [0-5]% compared to [0-5]% for MFPrévoyance, totaling [0-5]%. The main player remains Axa ([10-20]% market share) or AG2R La Mondiale ([5-10]% market share).  </w:t>
        <w:br/>
        <w:t xml:space="preserve">17. In the borrower insurance market, CNP estimates its market share at [30-40]% and that of MFPrévoyance at [0-5]%. CNP is the leading player in this market ahead of players such as Crédit Agricole ([20-30]% market share), BNP Paribas Assurances ([10-20]% market share), or AXA ([10-20]% market share). However, the low market share of MFPrévoyance and the size of competitors allow for the dismissal of the risk of anti-competitive effects related to the operation. Furthermore, the entry into force of Law No. 2010-737 of July 1, 2010, reforming consumer credit, should increase competition in the borrower insurance sector, as this law seeks to enhance cost transparency and consumer choice. The market for individual borrower insurance (or "insurance delegation"), which currently represents about 10% of the borrower insurance market, is therefore expected to grow.  </w:t>
        <w:br/>
        <w:t xml:space="preserve">18. In the dependency market, CNP estimates its market share at [10-20]% and that of MFPrévoyance at [0-5]%, totaling [20-30]%. Other providers are currently present in this market with a modest size (approximately 100 million euros according to the parties): the Crédit Agricole group ([10-20]% market share), the AG2R La Mondiale group ([10-20]%), Groupama-GAN ([10-20]%).  </w:t>
        <w:br/>
        <w:t xml:space="preserve">19. Consequently, the present operation is not likely to harm competition.  </w:t>
        <w:br/>
        <w:t xml:space="preserve">6 See the information report submitted to the National Assembly on June 23, 2010, regarding the care of dependent elderly persons presented by Ms. Valérie Rosso-Debord, Member of Parliament.  </w:t>
        <w:br/>
        <w:t xml:space="preserve">7 Decision No. 10-DCC-52 of June 2, 2010, regarding the creation of a Mutual Insurance Group Company ("SGAM") by MACIF, MAIF, and MATMUT.  </w:t>
        <w:br/>
        <w:t>4</w:t>
      </w:r>
    </w:p>
    <w:p>
      <w:r>
        <w:t xml:space="preserve">DECIDES  </w:t>
        <w:br/>
        <w:t xml:space="preserve">20. Sole Article: The operation notified under number 10-0140 is authorized.  </w:t>
        <w:br/>
        <w:t xml:space="preserve">The President,  </w:t>
        <w:br/>
        <w:t xml:space="preserve">Bruno Lasserre  </w:t>
        <w:br/>
        <w:t xml:space="preserve">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