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https://www.autoritedelaconcurrence.fr/fr/decision-de-controle-des-concentrations/relative-la-prise-de-controle-exclusif-de-minelli-par</w:t>
      </w:r>
    </w:p>
    <w:p>
      <w:r>
        <w:t>Pages translated : 23</w:t>
      </w:r>
    </w:p>
    <w:p/>
    <w:p>
      <w:r>
        <w:rPr>
          <w:b/>
        </w:rPr>
        <w:t>[Pages 1–3]</w:t>
      </w:r>
    </w:p>
    <w:p>
      <w:r>
        <w:t xml:space="preserve">FRENCH REPUBLIC  </w:t>
        <w:br/>
        <w:t xml:space="preserve">Decision No. 22-DCC-11 of January 31, 2022  </w:t>
        <w:br/>
        <w:t xml:space="preserve">regarding the exclusive control of Minelli by Stéphane Collaert  </w:t>
        <w:br/>
        <w:t xml:space="preserve">The Competition Authority,  </w:t>
        <w:br/>
        <w:t xml:space="preserve">Having regard to the notification file sent to the merger service on August 31, 2021, declared complete on September 28, 2021, concerning the acquisition of control of Minelli by Stéphane Collaert, formalized by the share purchase agreement of August 5, 2021;  </w:t>
        <w:br/>
        <w:t xml:space="preserve">Having regard to Book IV of the Commercial Code relating to the freedom of prices and competition, and in particular its Articles L. 430-1 to L. 430-7;  </w:t>
        <w:br/>
        <w:t xml:space="preserve">Having regard to the supplementary elements provided by the notifying party during the investigation;  </w:t>
        <w:br/>
        <w:t>Adopts the following decision:</w:t>
      </w:r>
    </w:p>
    <w:p>
      <w:r>
        <w:t xml:space="preserve">DECISION NO. 22-DCC-11 OF JANUARY 31, 2022 REGARDING THE EXCLUSIVE CONTROL OF MINELLI BY STÉPHANE COLLAERT ................................................................................... 1  </w:t>
        <w:br/>
        <w:t xml:space="preserve">I. THE COMPANIES CONCERNED AND THE OPERATION ........................................................... 5  </w:t>
        <w:br/>
        <w:t xml:space="preserve">II. DELIMITATION OF THE RELEVANT MARKETS ...................................................................... 5  </w:t>
        <w:br/>
        <w:t xml:space="preserve">A. The upstream markets for supply ............................................................................. 6  </w:t>
        <w:br/>
        <w:t xml:space="preserve">B. The downstream markets for retail distribution .......................................................... 6  </w:t>
        <w:br/>
        <w:t xml:space="preserve">1. The product markets .................................................................................................. 6  </w:t>
        <w:br/>
        <w:t xml:space="preserve">2. The geographical markets .......................................................................................... 9  </w:t>
        <w:br/>
        <w:t xml:space="preserve">III. COMPETITIVE ANALYSIS .......................................................................................... 10  </w:t>
        <w:br/>
        <w:t xml:space="preserve">A. The upstream markets for supply ........................................................................... 10  </w:t>
        <w:br/>
        <w:t xml:space="preserve">B. The downstream markets for retail distribution ......................................................... 10  </w:t>
        <w:br/>
        <w:t xml:space="preserve">1. On the retail markets for leather goods ................................................................... 10  </w:t>
        <w:br/>
        <w:t xml:space="preserve">2. On the retail markets for shoes ................................................................................ 11  </w:t>
        <w:br/>
        <w:t xml:space="preserve">a) Competitive analysis at the national level ............................................................ 11  </w:t>
        <w:br/>
        <w:t>b) Competitive analysis at the local level ................................................................. 11</w:t>
      </w:r>
    </w:p>
    <w:p>
      <w:r>
        <w:t xml:space="preserve">Summary1  </w:t>
        <w:br/>
        <w:t xml:space="preserve">In the following decision, the Authority examined the acquisition of control of the company Minelli by Mr. Stéphane Collaert.  </w:t>
        <w:br/>
        <w:t xml:space="preserve">Mr. Stéphane Collaert holds stakes in several companies active in the fashion sector, including controlling stakes in the company San Marina and Co, which heads the San Marina group. The San Marina group operates 208 shoe retail outlets in France, as well as a website.  </w:t>
        <w:br/>
        <w:t xml:space="preserve">Minelli operates 210 shoe retail outlets, which it also sells online.  </w:t>
        <w:br/>
        <w:t xml:space="preserve">Given the activities of San Marina and Minelli, the main focus of the Authority's examination was on the effects of the operation on the upstream markets for shoe supply and on the downstream markets for retail shoe distribution.  </w:t>
        <w:br/>
        <w:t xml:space="preserve">In the upstream markets for shoe supply, the Authority dismissed any risk of harm to competition, given the limited position of the new entity following the operation (less than 1%).  </w:t>
        <w:br/>
        <w:t xml:space="preserve">In the downstream markets for retail shoe distribution at the national level, the Authority also dismissed any risk of harm to competition. The market share of the new entity, regardless of the segmentation considered, remains below 25%. Following the operation, the parties will face competition from several significant operators (mainly specialized brands).  </w:t>
        <w:br/>
        <w:t xml:space="preserve">Regarding the analysis of the effects of the operation at the local level, the Authority conducted a competitive analysis in the 168 areas where an overlap of activities between the parties was observed. The analysis focused on the segment of physical sales of mid-range city outdoor shoes for women, which constitutes the core business of the parties.  </w:t>
        <w:br/>
        <w:t xml:space="preserve">The Authority applied a double filter. Initially, it applied a very conservative filter: it only analyzed the competition exerted by national brands that are the closest competitors of the parties, in terms of pricing and targeted clientele, in the downstream market for mid-range city outdoor shoes for women. At the end of this first filter, the Authority found that any serious doubt regarding harm to competition could be dismissed in 148 areas. In these areas, the market share of the new entity is indeed below 50%. The Authority also noted that, in each of the areas where the market share of the new entity is between 25% and 50%, there will remain, following the operation, at least three other national brands active in the distribution of mid-range city outdoor shoes for women.  </w:t>
        <w:br/>
        <w:t xml:space="preserve">For the 20 areas where any serious doubt could not be dismissed after this initial conservative filtering, a more detailed analysis was conducted. The Authority analyzed the competitive pressure exerted by independent specialized stores, not belonging to a brand network. It found the presence of credible independent retailers as alternatives to the stores of the new entity and dismissed the risks of harm to competition.  </w:t>
        <w:br/>
        <w:t>1 This summary is purely informative. Only the reasons for the decision numbered below are authoritative.</w:t>
      </w:r>
    </w:p>
    <w:p>
      <w:r>
        <w:rPr>
          <w:b/>
        </w:rPr>
        <w:t>[Pages 4–6]</w:t>
      </w:r>
    </w:p>
    <w:p>
      <w:r>
        <w:t>in all 20 areas subject to this analysis. Consequently, the Authority authorized the operation unconditionally.</w:t>
        <w:br/>
        <w:t>4</w:t>
      </w:r>
    </w:p>
    <w:p>
      <w:r>
        <w:t>I. The concerned companies and the operation</w:t>
        <w:br/>
        <w:t>1. Mr. Stéphane Collaert has been working and investing in the fashion, leather goods, and accessories sector for twenty years. Through his holding company Stéphane Collaert Conseil (SCC), he holds stakes in several companies active in the fashion sector, including stakes in the company San Marina and Co, which heads the San Marina group, over which he exercises control under a voting agreement.</w:t>
        <w:br/>
        <w:t>2. The San Marina group offers, through its 232 points of sale worldwide, a complete range of shoes and leather goods. In France, San Marina markets its products through, among others, a network of 208 points of sale, as well as a website.</w:t>
        <w:br/>
        <w:t>3. Minelli is a simplified joint-stock company that operates a network of 260 points of sale for premium leather shoes and leather goods, which it also sells online. In France, Minelli operates 210 points of sale.</w:t>
        <w:br/>
        <w:t>4. The operation, materialized by a share acquisition agreement dated August 5, 2021, consists of the acquisition by Stéphane Collaert, through his company SCC and the company San Marina and Co II, which will control the company San Marina and Co, of all the shares of Minelli.</w:t>
        <w:br/>
        <w:t>5. As it results in the exclusive control of Minelli by Stéphane Collaert, the operation constitutes a concentration operation within the meaning of Article L. 430-1 of the Commercial Code.</w:t>
        <w:br/>
        <w:t>6. The operation is part of a conciliation procedure opened before the Paris Commercial Court on April 13, 2021, which resulted in a homologation judgment dated September 28, 2021.</w:t>
        <w:br/>
        <w:t>7. The concerned companies together generate a total worldwide turnover of over 150 million euros (San Marina: 83.2 million euros for the fiscal year ending August 31, 2020; Minelli: 85.3 million euros for the fiscal year ending August 31, 2020). Each of these companies generates in France a turnover exceeding 50 million euros (San Marina: [≥ 50 million] euros for the fiscal year ending August 31, 2020; Minelli: [≥ 50 million] euros for the fiscal year ending August 31, 2020).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II. Definition of relevant markets</w:t>
        <w:br/>
        <w:t>8. The parties are simultaneously present in the retail distribution market for shoes and leather goods. In each of these sectors, two categories of markets are distinguished: the upstream markets for supplying retail companies from manufacturers (A), and the downstream markets, which bring together retail companies and final consumers (B).</w:t>
        <w:br/>
        <w:t>5</w:t>
      </w:r>
    </w:p>
    <w:p>
      <w:r>
        <w:t>A. UPSTREAM SUPPLY MARKETS</w:t>
        <w:br/>
        <w:t>9. Regarding the upstream supply markets, the Competition Authority traditionally distinguishes as many markets as there are families of products. It has, in particular, considered a distinct supply market for shoes separate from that for clothing2 and that for leather goods3.</w:t>
        <w:br/>
        <w:t>10. The supply markets for shoes and leather goods have a global dimension4.</w:t>
        <w:br/>
        <w:t>11. In any case, the question of the exact delimitation of the upstream supply markets for shoes and leather goods can be left open, as the competitive analysis remains unchanged regardless of the segmentation chosen.</w:t>
        <w:br/>
        <w:t>12. In this case, both parties are active in the upstream supply markets for shoes and leather goods.</w:t>
        <w:br/>
        <w:t>B. DOWNSTREAM RETAIL MARKETS</w:t>
        <w:br/>
        <w:t>1. PRODUCT MARKETS</w:t>
        <w:br/>
        <w:t>13. Regarding the distribution of non-food products, the Competition Authority traditionally distinguishes as many markets as there are families of products. Indeed, within each of the markets thus defined, competition varies significantly due to the degree of specialization of a significant number of players in one or more families of products5.</w:t>
        <w:br/>
        <w:t>14. In this case, the parties primarily distribute shoes, which represent [90-100]% of San Marina's turnover and [80-90]% of Minelli's turnover in 2020. Additionally, they also distribute leather goods6.</w:t>
        <w:br/>
        <w:t>15. Regarding the retail distribution activity of leather goods, the decision-making practice of the Competition Authority considers that it falls within a segment of the market for the retail distribution of clothing and ready-to-wear7.</w:t>
        <w:br/>
        <w:t>2 See, for example, recently, the decisions of the Competition Authority No. 17-DCC-39 of April 4, 2017, concerning the acquisition of exclusive control of the companies Livelle and 3Suisses Belgium by Domoti SAS, No. 18-DCC-01 of January 10, 2018, concerning the acquisition of exclusive control of the company La Redoute by the company Motier (Galeries Lafayette group), No. 20-DCC-09 of November 17, 2020, concerning the de facto merger between the groups Oosterdam and Happychic, No. 20-DCC-172 of December 8, 2020, concerning the exclusive control of 511 stores of the company Camaïeu International and the company Financière Brame by the company Financière Immobilière Bordelaise, No. 21-DCC-43 of March 24, 2021, concerning the exclusive control of assets of the company La Halle by the Beaumanoir family, No. 21-DCC-166 of September 29, 2021, concerning the exclusive control of the company Caroll International by the Beaumanoir group.</w:t>
        <w:br/>
        <w:t>3 See in particular the decisions of the Competition Authority No. 18-DCC-53 of April 20, 2018, concerning the exclusive control of the company André by the company Spartoo and No. 21-DCC-73 of May 20, 2021, concerning the exclusive control of 128 business assets operated by La Halle SAS by Chaussea SAS.</w:t>
        <w:br/>
        <w:t>4 See in particular the decisions of the Competition Authority No. 17-DCC-39, No. 18-DCC-01, No. 18-DCC-53, No. 20-DCC-172, No. 21-DCC-43, and No. 21-DCC-73 mentioned above.</w:t>
        <w:br/>
        <w:t>5 See, for example, the decisions of the Competition Authority No. 17-DCC-39, No. 18-DCC-01, No. 18-DCC-53, and No. 21-DCC-73 mentioned above.</w:t>
        <w:br/>
        <w:t>6 Leather goods represented 6.5% of San Marina's turnover and 7.9% of Minelli's turnover in 2020. It should be noted that the parties also sell, for a very marginal part of their turnover, other accessories as well as jewelry, which represent a non-significant part of their turnover (respectively 0.4% for San Marina and 2.6% for Minelli).</w:t>
        <w:br/>
        <w:t>7 See the decisions of the Competition Authority No. 18-DCC-53 and No. 21-DCC-73 mentioned above, as well as decision No. 12-DCC-179 concerning the exclusive control by the company Maus Frères of the companies Lacoste SA and Patentex and the letters from the Minister of Economy, Finance and Industry C2007-28 of April 30, 2007, to the advisors of the company Vivarte, concerning a concentration in the clothing sector and C2004-133 of November 15, 2004, to the council of the Vetura group concerning a concentration in the clothing sector.</w:t>
      </w:r>
    </w:p>
    <w:p>
      <w:r>
        <w:rPr>
          <w:b/>
        </w:rPr>
        <w:t>[Pages 7–9]</w:t>
      </w:r>
    </w:p>
    <w:p>
      <w:r>
        <w:t>16. Regarding the retail distribution of shoes, the Authority segmented the market according to the age or gender of the end consumer (men, women, children), and the use of the shoes (indoor shoes, outdoor shoes). Within the outdoor shoe segment, it was also considered to distinguish between city shoes and sports shoes8.</w:t>
      </w:r>
    </w:p>
    <w:p>
      <w:r>
        <w:t>17. The Authority also segmented the market for the retail distribution of shoes based on the range of products sold (entry-level, mid-range, and high-end)9.</w:t>
      </w:r>
    </w:p>
    <w:p>
      <w:r>
        <w:t>18. In its decision-making practice, the Authority found that shoes can be distributed through specialized boutiques, hypermarkets (hereinafter "GSA"), and specialized supermarkets10 (hereinafter "GSS"). It also noted that the segmentation by price range and that by distribution channel largely overlap. Traditionally, so-called "entry-level" shoes are sold through the GSS and GSA channels, while "mid-range" or "high-end" products are sold through specialized boutiques11.</w:t>
      </w:r>
    </w:p>
    <w:p>
      <w:r>
        <w:t>19. In this case, the notifying party argues that the commercial positioning of San Marina and Minelli could be considered significantly different in that San Marina would only market shoes belonging to the lower range of the mid-range, while Minelli would be more present in the premium segment of the mid-range. The notifying party observes in this regard that the majority of sales made by San Marina are in a price range between 50 and 100 euros, while the majority of sales made by Minelli are between 100 and 150 euros.</w:t>
      </w:r>
    </w:p>
    <w:p>
      <w:r>
        <w:t>20. The recent decision-making practice of the Authority12 and the elements submitted in the file remind that, although a segmentation of the retail distribution market for shoes based on range is relevant, it faces certain difficulties. Significant price differences can indeed be observed within the same range. A brand may be positioned, in terms of its price positioning, at the beginning of a range, while another may be positioned at the top of that same range. These two brands then experience differentiated competitive pressure from brands belonging to other ranges, even though they belong to the same segment.</w:t>
      </w:r>
    </w:p>
    <w:p>
      <w:r>
        <w:t>21. In this case, the investigation showed that, although two-thirds of San Marina's sales correspond to pairs of shoes priced between 50 and 100 euros13, more than a quarter of sales are made in the higher price range, namely 100 to 150 euros14. Regarding Minelli, while just under two-thirds of sales correspond to the price range of 100 to 150 euros, it remains that a quarter or more of sales correspond to the price range of 50 to 100 euros15. The boundary between these two price ranges established by the notifying party therefore does not appear sufficiently watertight to be relevant in light of the parties' activities. Overall, it appears that both San Marina and Minelli are actually very present across the entire price range between 50 and 150 euros. This price range indeed represents [90-100]% of San Marina's sales and [80-90]% of Minelli's sales in 202016. Consequently, it must be considered that both San Marina and Minelli are situated on the same price continuum characteristic of the mid-range. They also both cover a wide range of products (sandals, "wedge" shoes, pumps, mules, sneakers, ballet flats, ankle boots, boots, derbies, etc.) and present a similar sales strategy, based on a presence in city centers and in peripheral shopping centers, but also through dedicated websites. Given the product and price positioning of the parties and the clientele addressed, the Authority considers that it is appropriate to conduct the analysis on the "mid-range" primarily including specialized boutiques.</w:t>
      </w:r>
    </w:p>
    <w:p>
      <w:r>
        <w:t>22. In this case, the parties also suggest that it would be relevant to consider a market including all distribution channels (online sales and sales in physical stores). To assess the existence of substitutability between online sales and sales in physical stores, the Authority may take into account, in particular, the following indicators: (i) the penetration rate of online sales; (ii) the internal organization of operators; (iii) the consideration of online resellers (pure players) in the commercial and pricing strategy of operators; (iv) the existence of specificities in product ranges; (v) price uniformity between channels; (vi) the development of omnichannel models; and (vii) the rate of switching between physical and online points of sale17.</w:t>
      </w:r>
    </w:p>
    <w:p>
      <w:r>
        <w:t>23. Regarding shoe sales, the Authority noted in a recent decision concerning the entry-level segment18 that the penetration rate of online sales, that is, the share of shoes sold online compared to total sales, was relatively low; it therefore conducted its analysis solely on the segment of physical sales.</w:t>
      </w:r>
    </w:p>
    <w:p>
      <w:r>
        <w:t>24. In this case, the revenue that the parties generate online is relatively low compared to that generated in physical stores19. The notifying party nevertheless argues that, regarding the "mid-range," online sales exert a very strong pressure on physical points of sale. Indeed, the health context has led to a significant shift of shoe purchases from stores to online sites, and the penetration rate of online shoe sales has seen an increase20 that may have impacted the mid-range segment more significantly.</w:t>
      </w:r>
    </w:p>
    <w:p>
      <w:r>
        <w:t>25. San Marina offers mid-range city outdoor shoes for men and women, which represent, in 2020, [90-100]%22 of the revenue generated from shoes, and more marginally, outdoor sports shoes for men, which represent [5-10]% of its revenue generated from shoes.</w:t>
      </w:r>
    </w:p>
    <w:p>
      <w:r>
        <w:t>26. In terms of shoes, Minelli, on the other hand, only offers mid-range city outdoor shoes for men and women. Women's items represent a strong majority of the revenue generated from shoes23.</w:t>
      </w:r>
    </w:p>
    <w:p>
      <w:r>
        <w:t>27. In conclusion, the activities of the parties primarily overlap in several downstream markets of retail distribution24:</w:t>
        <w:br/>
        <w:t>- the downstream markets for the retail distribution of mid-range city outdoor shoes for women;</w:t>
        <w:br/>
        <w:t>- the downstream markets for the retail distribution of mid-range city outdoor shoes for men;</w:t>
        <w:br/>
        <w:t>- the downstream markets for the retail distribution of leather goods.</w:t>
      </w:r>
    </w:p>
    <w:p>
      <w:r>
        <w:t>2. GEOGRAPHICAL MARKETS</w:t>
      </w:r>
    </w:p>
    <w:p>
      <w:r>
        <w:t>28. Regarding the retail distribution in physical stores of shoes, the Authority considers that competition occurs between points of sale located in the same catchment area. Two criteria are used25 to delineate these areas:</w:t>
        <w:br/>
        <w:t>- on the one hand, from the consumers' perspective, there are as many markets as there are cities where retailers likely to sell these items are located, each of these markets corresponding to the commercial attraction area where shoes can generally be purchased;</w:t>
        <w:br/>
        <w:t>- on the other hand, for GSS and GSA, the geographical market corresponds to a radius of 20 minutes by car from a store of the parties. This delineation is also retained for stores located in shopping centers attached to GSS or GSA.</w:t>
      </w:r>
    </w:p>
    <w:p>
      <w:r>
        <w:t>29. Furthermore, the growing weight in this sector of specialized distribution chains, consisting of networks of points of sale under a common brand, operated in-house, in partnership, or through franchises, is noted.</w:t>
      </w:r>
    </w:p>
    <w:p>
      <w:r>
        <w:rPr>
          <w:b/>
        </w:rPr>
        <w:t>[Pages 10–12]</w:t>
      </w:r>
    </w:p>
    <w:p>
      <w:r>
        <w:t xml:space="preserve">franchise or in purchasing groups and present throughout the national territory raises the question of the need for a complementary analysis at the national level.  </w:t>
        <w:br/>
        <w:t xml:space="preserve">30. This analysis can be transposed to leather goods26.  </w:t>
        <w:br/>
        <w:t xml:space="preserve">31. In this case, the competitive analysis will therefore be conducted at both the national and local levels.  </w:t>
        <w:br/>
        <w:t xml:space="preserve">III. Competitive Analysis  </w:t>
        <w:br/>
        <w:t xml:space="preserve">32. Given the activities of the parties, the operation is likely to produce horizontal effects on the supply market (A) as well as on the retail distribution market for shoes and leather goods (B)27.  </w:t>
        <w:br/>
        <w:t xml:space="preserve">A. UPSTREAM SUPPLY MARKETS  </w:t>
        <w:br/>
        <w:t xml:space="preserve">33. In the upstream markets for the supply of leather goods, the parties estimated that the market share of the new entity would be less than 1% at the national level, and significantly less than 1% at the global level, following the operation.  </w:t>
        <w:br/>
        <w:t xml:space="preserve">34. In the upstream markets for the supply of shoes, the parties also estimated that the market share of the new entity would be less than 1% at the national level, and significantly less than 1% at the global level, following the operation.  </w:t>
        <w:br/>
        <w:t xml:space="preserve">35. Consequently, the operation is not likely to harm competition through horizontal effects in the aforementioned supply markets.  </w:t>
        <w:br/>
        <w:t xml:space="preserve">B. DOWNSTREAM RETAIL MARKETS  </w:t>
        <w:br/>
        <w:t xml:space="preserve">1. ON THE RETAIL MARKETS FOR LEATHER GOODS  </w:t>
        <w:br/>
        <w:t xml:space="preserve">36. The combined turnover of the parties in leather goods is [10-20] million euros, while the total turnover generated in the leather goods market in France would, according to the notifying party, be approximately 4 billion euros.  </w:t>
        <w:br/>
        <w:t xml:space="preserve">37. In the downstream retail markets for leather goods, the parties therefore estimated that the market share of the new entity would be less than 1% at the national level.  </w:t>
        <w:br/>
        <w:t xml:space="preserve">38. The parties did not provide their market shares at the local level. However, considering the share of leather goods in the turnover of the parties ([5-10]% of the combined turnover of the new entity), the low market share of the new entity at the national level, and to the extent that these products will continue to be sold in numerous competing stores (specialized shops, clothing stores), the operation  </w:t>
        <w:br/>
        <w:t xml:space="preserve">26 See for example the decision of the Competition Authority n° 21-DCC-73 cited above.  </w:t>
        <w:br/>
        <w:t xml:space="preserve">27 Given the low market shares of the parties in the upstream supply markets and the fact that the risks of harm to competition in the downstream markets through horizontal effects are dismissed, any risk of harm to competition through vertical effects can be dismissed without the need for a competitive analysis.  </w:t>
        <w:br/>
        <w:t>10</w:t>
      </w:r>
    </w:p>
    <w:p>
      <w:r>
        <w:t xml:space="preserve">is not likely to harm competition in the local retail markets for leather goods.  </w:t>
        <w:br/>
        <w:t xml:space="preserve">39. Consequently, any risk of harm to competition in these markets through horizontal effects can be dismissed.  </w:t>
        <w:br/>
        <w:t xml:space="preserve">2. ON THE RETAIL MARKETS FOR SHOES  </w:t>
        <w:br/>
        <w:t xml:space="preserve">a) Competitive analysis at the national level  </w:t>
        <w:br/>
        <w:t xml:space="preserve">40. The notifying party provided an estimate of the market shares in value of the new entity at the national level, according to the different segmentations retained by decision-making practice, relying in particular on turnover data from specialized publications related to the shoe sector28.  </w:t>
        <w:br/>
        <w:t xml:space="preserve">41. The market shares of the parties are provided in the table below.  </w:t>
        <w:br/>
        <w:t xml:space="preserve">42. The market share of the new entity will be a maximum of 20%, in value, on the most narrowly defined segment corresponding to the core business of the parties.  </w:t>
        <w:br/>
        <w:t xml:space="preserve">43. Consequently, in light of these market shares and in application of the guidelines on the control of concentrations29, the operation is not likely to harm competition through horizontal effects in the national market for mid-range shoe distribution.  </w:t>
        <w:br/>
        <w:t xml:space="preserve">b) Competitive analysis at the local level  </w:t>
        <w:br/>
        <w:t xml:space="preserve">Methodology  </w:t>
        <w:br/>
        <w:t xml:space="preserve">44. The operation allows Mr. Stéphane Collaert, who already controls the San Marina group, to acquire 210 business assets under the Minelli brand throughout the national territory.  </w:t>
        <w:br/>
        <w:t xml:space="preserve">45. As previously stated, in the retail markets for shoes, the activities of the parties mainly overlap in the markets for mid-range city outdoor shoes for women and, to a lesser extent, for men.  </w:t>
        <w:br/>
        <w:t xml:space="preserve">46. The competitive analysis will, however, be presented only for the women's market for several reasons. Firstly, the sale of men's shoes represents only a marginal activity for the parties, as previously stated30. The combined market share of the parties at the national level in the narrowest segment, namely that of the distribution of mid-range city shoes for men, is more than three times lower than that observed in the same market for women. The Authority considers  </w:t>
        <w:br/>
        <w:t xml:space="preserve">28 Xerfi Study, Shoe Distribution, January 2021.  </w:t>
        <w:br/>
        <w:t xml:space="preserve">29 Point 624: "When the market share of the new entity is below 25%, it is presumed that the operation does not harm competition through unilateral effects."  </w:t>
        <w:br/>
        <w:t xml:space="preserve">30 See points 25 and 26.  </w:t>
        <w:br/>
        <w:t xml:space="preserve">11  </w:t>
        <w:br/>
        <w:t xml:space="preserve">M a rc h é s  </w:t>
        <w:br/>
        <w:t xml:space="preserve">D is trib u tio n d e c h a u  </w:t>
        <w:br/>
        <w:t xml:space="preserve">D is trib u tio n d e c h a u s s u re s d  </w:t>
        <w:br/>
        <w:t xml:space="preserve">D is trib u tio n d e c h a u s s u re s d e v ille p o u r fe  </w:t>
        <w:br/>
        <w:t xml:space="preserve">D is trib u tio n d e c h a u s s u re s d e v ille p o u r h o  </w:t>
        <w:br/>
        <w:t xml:space="preserve">D is trib u tio n d e c h a u s s u re s d e v ille m ilie u d e g a m m e p o u r fe  </w:t>
        <w:br/>
        <w:t xml:space="preserve">D is trib u tio n d e c h a u s s u re s d e v ille m ilie u d e g a m m e p o u r h o  </w:t>
        <w:br/>
        <w:t xml:space="preserve">s s u  </w:t>
        <w:br/>
        <w:t xml:space="preserve">e v  </w:t>
        <w:br/>
        <w:t xml:space="preserve">m m  </w:t>
        <w:br/>
        <w:t xml:space="preserve">m m  </w:t>
        <w:br/>
        <w:t xml:space="preserve">m m  </w:t>
        <w:br/>
        <w:t xml:space="preserve">m m  </w:t>
        <w:br/>
        <w:t xml:space="preserve">re s  </w:t>
        <w:br/>
        <w:t xml:space="preserve">ille  </w:t>
        <w:br/>
        <w:t xml:space="preserve">e s  </w:t>
        <w:br/>
        <w:t xml:space="preserve">e s  </w:t>
        <w:br/>
        <w:t xml:space="preserve">e s  </w:t>
        <w:br/>
        <w:t xml:space="preserve">e s  </w:t>
        <w:br/>
        <w:t xml:space="preserve">M in e lli  </w:t>
        <w:br/>
        <w:t xml:space="preserve">[0 -5 ]%  </w:t>
        <w:br/>
        <w:t xml:space="preserve">[0 -5 ]%  </w:t>
        <w:br/>
        <w:t xml:space="preserve">[0 -5 ]%  </w:t>
        <w:br/>
        <w:t xml:space="preserve">[0 -5 ]%  </w:t>
        <w:br/>
        <w:t xml:space="preserve">&lt; 1 0 %  </w:t>
        <w:br/>
        <w:t xml:space="preserve">&lt; 3 %  </w:t>
        <w:br/>
        <w:t xml:space="preserve">S a n M a rin  </w:t>
        <w:br/>
        <w:t xml:space="preserve">[0 -5 ]%  </w:t>
        <w:br/>
        <w:t xml:space="preserve">[0 -5 ]%  </w:t>
        <w:br/>
        <w:t xml:space="preserve">[0 -5 ]%  </w:t>
        <w:br/>
        <w:t xml:space="preserve">[0 -5 ]%  </w:t>
        <w:br/>
        <w:t xml:space="preserve">&lt; 1 0 %  </w:t>
        <w:br/>
        <w:t xml:space="preserve">&lt; 3 %  </w:t>
        <w:br/>
        <w:t xml:space="preserve">a N o u v e lle e  </w:t>
        <w:br/>
        <w:t xml:space="preserve">[0 -5 ]%  </w:t>
        <w:br/>
        <w:t xml:space="preserve">[0 -5 ]%  </w:t>
        <w:br/>
        <w:t xml:space="preserve">[0 -5 ]%  </w:t>
        <w:br/>
        <w:t xml:space="preserve">[0 -5 ]%  </w:t>
        <w:br/>
        <w:t xml:space="preserve">&lt; 2 0 %  </w:t>
        <w:br/>
        <w:t xml:space="preserve">&lt; 6 %  </w:t>
        <w:br/>
        <w:t>n tité</w:t>
      </w:r>
    </w:p>
    <w:p>
      <w:r>
        <w:t xml:space="preserve">that these elements are likely to limit the effects of the operation on the downstream markets for men. Moreover, it appeared that the majority of the studied competitors' points of sale (whether they belong to branded networks or are independent) also sold – like the parties – shoes for men. Consequently, it does not seem necessary to conduct a specific competitive analysis for the market of mid-range city outdoor shoes for men.  </w:t>
        <w:br/>
        <w:t xml:space="preserve">47. Furthermore, as explained previously31, the competitive analysis will be conducted only on the segment of physical distribution.  </w:t>
        <w:br/>
        <w:t xml:space="preserve">48. At the local level, the services of instruction conducted a quantitative and qualitative analysis of the competitive offer in the retail market for mid-range city outdoor shoes for women. The isochrone areas, centered around the Minelli points of sale and delineated according to the decision-making practice of the Authority recalled above32, were examined.  </w:t>
        <w:br/>
        <w:t xml:space="preserve">49. The operation results in overlaps of activity between the parties in 168 areas out of the 210 areas analyzed. As a result, the Authority conducted a two-step competitive analysis.  </w:t>
        <w:br/>
        <w:t xml:space="preserve">50. In the first step, a very conservative analysis was conducted (hereinafter, "the first filtering") aimed at identifying, first and foremost, a list of specialized boutiques linked to branded networks that constitute the closest competitors of the parties, in terms of price, product range, and clientele.  </w:t>
        <w:br/>
        <w:t xml:space="preserve">51. As the Authority has had the opportunity to recall in decisions in the clothing sector33, the establishment of such a list can encounter certain difficulties. On the one hand, it is not always easy to determine in which range a brand should be positioned and, on the other hand, there can be significant price differences within the same range. Some brands considered to be in the mid-range may thus practice very different prices. Consequently, some brands positioned at the beginning of the mid-range segment actually face stronger competitive pressure from brands positioned at the top of the entry-level segment compared to brands positioned at the top of the mid-range segment. Moreover, brands within the same price range may target different clientele.  </w:t>
        <w:br/>
        <w:t xml:space="preserve">52. In collaboration with the notifying party34, a list of national brands constituting the closest competitors of the parties, in terms of pricing and targeted clientele, in the downstream market for mid-range city outdoor shoe distribution for women was established. These brands (i) are all active in the price continuum that constitutes the core business of the parties, namely the price range from 50 to 150 euros for a pair of shoes, (ii) sell a similar range of products, and (iii) primarily target female clientele.  </w:t>
        <w:br/>
        <w:t xml:space="preserve">53. This list excludes i) luxury shoe brands, ii) entry-level shoe brands35, iii) sports shoe brands, iv) brands specialized solely in the sale of children's or men's shoes, v) brands specialized in the  </w:t>
        <w:br/>
        <w:t xml:space="preserve">31 See point 24.  </w:t>
        <w:br/>
        <w:t xml:space="preserve">32 See points 28 and following.  </w:t>
        <w:br/>
        <w:t xml:space="preserve">33 See for example decisions n° 20-DCC-172 and 21-DCC-43 cited above.  </w:t>
        <w:br/>
        <w:t xml:space="preserve">34 The Shoe Federation was also contacted as part of the instruction and the establishment of this list.  </w:t>
        <w:br/>
        <w:t xml:space="preserve">35 See the decision of the Competition Authority n° 21-DCC-73 of May 20, 2021, regarding the exclusive control of 128 business assets operated by La Halle SAS by Chaussea SAS.  </w:t>
        <w:br/>
        <w:t>12</w:t>
      </w:r>
    </w:p>
    <w:p>
      <w:r>
        <w:rPr>
          <w:b/>
        </w:rPr>
        <w:t>[Pages 13–15]</w:t>
      </w:r>
    </w:p>
    <w:p>
      <w:r>
        <w:t>ready-to-wear and marginally selling shoes, vi) independent shoe retailers, whose credibility of competitive pressure will be assessed qualitatively at a later stage36. The established list therefore only retains points of sale with a price and range positioning close to that of the parties.</w:t>
      </w:r>
    </w:p>
    <w:p>
      <w:r>
        <w:t>54. In order to assess whether a concentration operation between two distributors is likely to harm competition in a market through horizontal effects, the Authority generally employs a method based on general principles set out in its guidelines. The Authority thus primarily examines two criteria: (i) the market shares of the new entity and (ii) the degree of market concentration.</w:t>
      </w:r>
    </w:p>
    <w:p>
      <w:r>
        <w:t>55. Consequently, in the 168 areas where the activities of the parties overlap² due to the simultaneous presence of the target and the acquirer through San Marina and Minelli points of sale, the cumulative market shares of the new entity, evaluated in terms of sales area, were calculated37. The number of competing groups present in each area and their stores, belonging to the list of identified competitors above in point 53, as an alternative to the points of sale of the new entity, was also determined.</w:t>
      </w:r>
    </w:p>
    <w:p>
      <w:r>
        <w:t>56. In this case, conservatively and in accordance with the Authority's decision-making practice regarding distribution and the guidelines on concentration control, it was considered that:</w:t>
        <w:br/>
        <w:t>- When the market share of the new entity is below 25% after the operation in the area considered, any risk of harm to competition can be dismissed without the need for a more detailed competitive analysis, as no particular circumstances render it necessary;</w:t>
        <w:br/>
        <w:t>- When the market share of the new entity is between 25% and 50%, the Authority conducts a study of the local supply structure and the degree of market concentration. In this case, the Authority considered that among these areas, those where the number of competing groups is strictly less than 3 should undergo a more detailed analysis so that any serious doubt regarding harm to competition can be dismissed;</w:t>
        <w:br/>
        <w:t>- When the market share of the new entity is above 50%, the Authority presumes the existence of significant market power following the operation and also engages in a thorough competitive examination of the area to identify the existence of any credible and sufficient alternatives to the new entity.</w:t>
      </w:r>
    </w:p>
    <w:p>
      <w:r>
        <w:t>36 See point 60 and following.</w:t>
        <w:br/>
        <w:t>37 The calculation of market shares in terms of area was enabled by the use of several adjustments to the areas of the stores recorded in each catchment area, aimed at reflecting the area dedicated to the sale of mid-range city shoes for women within each point of sale. First, the actual total area of the parties' points of sale and their competitors, when available, was used. For stores whose area was not reported, these were supplemented either by using an average of the observed areas for each brand or by resorting to a conservative area of 50 m². Secondly, given that some of the reported brands do not only sell women's shoes but also men's or children's shoes, or even accessories or leather goods, a weighting was applied to the areas of the points of sale. Thus, based on the information provided by the parties, 85% of the area of the parties' points of sale was retained, 100% for stores specialized solely in women's shoes, and 50% for mixed stores. Thirdly, in a perspective of robustness of the analysis, the Besson brand underwent specific reprocessing, given the particularly high average total area of its points of sale (1,100 m²) compared to the parties' stores ([60-70] m² for Minelli, [130-140] m² for San Marina). For this brand, a conservative weighting of 10% of the area was retained, so as to reflect the actual area dedicated to mid-range city shoes for women.</w:t>
      </w:r>
    </w:p>
    <w:p>
      <w:r>
        <w:t>57. At the end of this initial conservative filter, the risks of harm to competition were dismissed in 148 areas, without the need to assess the credibility of the competitive pressure exerted by certain local independent retailers.</w:t>
      </w:r>
    </w:p>
    <w:p>
      <w:r>
        <w:t>58. Conversely, 20 areas were subject to a more detailed analysis:</w:t>
        <w:br/>
        <w:t>- 7 areas in which the market share of the new entity is between 25% and 50% and the number of competing groups is strictly less than 3 after the first filtering;</w:t>
        <w:br/>
        <w:t>- 13 areas in which the market share of the new entity is greater than 50% after the first filtering.</w:t>
      </w:r>
    </w:p>
    <w:p>
      <w:r>
        <w:t>59. For these 20 areas where any serious doubt cannot be dismissed after the first filtering, due to the weakness in the number of remaining competing groups or the significance of the market shares of the new entity, the Authority refined its analysis.</w:t>
      </w:r>
    </w:p>
    <w:p>
      <w:r>
        <w:t>60. In a second step, the Authority assessed whether the competitive pressure exerted by certain independent retailers in these areas, not belonging to brand networks but specialized in shoe distribution, is likely to mitigate the market share levels of the new entity at the local level.</w:t>
      </w:r>
    </w:p>
    <w:p>
      <w:r>
        <w:t>61. The credibility of the competitive pressure exerted by these retailers on the parties' stores is assessed in light of the area of their stores, their local presence, how the sale of shoes is highlighted, both in stores and on communication materials, the similarity of their assortment with that of the parties (in terms of product ranges sold, targeted clientele), and, obviously, the prices charged38. In the presence of a sufficient number of credible independent retailers as alternatives to the stores of the new entity, the Authority dismissed the risks of harm to competition in the areas subject to a more detailed analysis after the first filtering.</w:t>
      </w:r>
    </w:p>
    <w:p>
      <w:r>
        <w:t>62. Finally, as a subsidiary measure, the Authority also took into account, when circumstances justified it, the characteristics of the stores located near the catchment area of each target, and the competitive dynamics between stores located in city centers and those housed in shopping centers on the outskirts of these areas. This border area examination is customary in local area analysis39.</w:t>
      </w:r>
    </w:p>
    <w:p>
      <w:r>
        <w:t>63. The local competitive analyses relating to these 20 areas are presented below.</w:t>
      </w:r>
    </w:p>
    <w:p>
      <w:r>
        <w:t>Analysis of the seven areas where the market share of the new entity is between 25% and 50% and requiring in-depth examination after the first filtering</w:t>
      </w:r>
    </w:p>
    <w:p>
      <w:r>
        <w:t>64. In seven areas, following the first filtering, the market share of the new entity is between 25% and 50% and the number of competing groups is strictly less than three following the operation. The areas concerned are the areas of Amiens Glisy, Brest, Laval, Montélimar, Poitiers, Saint-Étienne, and Villefranche-sur-Saône.</w:t>
      </w:r>
    </w:p>
    <w:p>
      <w:r>
        <w:t>38 Several pieces of information regarding these independent retailers, such as the areas of their stores, customer positioning, and prices, were found through research on the websites of these stores or telephone interviews with the managers. In the perspective of calculating the market shares of the new entity after including independent retailers within each area, stores whose area was not reported were allocated a conservative area of 50 m². Furthermore, in the absence of information regarding the share of shoe sales made to female customers, a weighting of 50% of the sales area was applied.</w:t>
      </w:r>
    </w:p>
    <w:p>
      <w:r>
        <w:t>39 See for example decision n° 21-DCC-73 mentioned above regarding shoe distribution.</w:t>
      </w:r>
    </w:p>
    <w:p>
      <w:r>
        <w:t>65. The market shares of the parties, the number of points of sale of the parties and their competitors in each area are presented below:</w:t>
      </w:r>
    </w:p>
    <w:p>
      <w:r>
        <w:t>| Zone                       | Market Share of the New Entity | Number of Competing Groups | Number of Points of Sale of the New Entity | Number of Competing Points of Sale Present at the End of the First Filtering |</w:t>
        <w:br/>
        <w:t>|----------------------------|--------------------------------|---------------------------|-------------------------------------------|--------------------------------------------------------------------------------|</w:t>
        <w:br/>
        <w:t>| Amiens Glisy               | [40-50]%                       | 3                         | 2                                         | 2                                                                              |</w:t>
        <w:br/>
        <w:t>| Brest                      | [40-50]%                       | 2                         | 2                                         | 4                                                                              |</w:t>
        <w:br/>
        <w:t>| Laval                      | [40-50]%                       | 2                         | 2                                         | 2                                                                              |</w:t>
        <w:br/>
        <w:t>| Montélimar                | [40-50]%                       | 2                         | 1                                         | 1                                                                              |</w:t>
        <w:br/>
        <w:t>| Poitiers                   | [40-50]%                       | 2                         | 2                                         | 3                                                                              |</w:t>
        <w:br/>
        <w:t>| Saint-Étienne              | [40-50]%                       | 2                         | 2                                         | 3                                                                              |</w:t>
        <w:br/>
        <w:t>| Villefranche-sur-Saône     | [40-50]%                       | 2                         | 2                                         | 2                                                                              |</w:t>
      </w:r>
    </w:p>
    <w:p>
      <w:r>
        <w:t>66. In accordance with the methodology detailed in point 60, a more detailed analysis of these seven areas was conducted, particularly aimed at assessing whether independent retailers are likely to exert credible competitive pressure on the points of sale of the new entity following the operation.</w:t>
      </w:r>
    </w:p>
    <w:p>
      <w:r>
        <w:t>67. The Amiens Glisy area presents a specificity since the stores causing the overlap are located in two distinct shopping centers on the outskirts of the city of Amiens. In the context of the first filtering, the stores located in these two shopping centers, belonging to two competing groups, were included in the catchment area, leading to a market share of around [40-50]% for the new entity. However, it must be considered that these stores also face competition from stores belonging to competing brand networks located in downtown Amiens40, situated at the border of the area. Considering the inclusion of these stores in the catchment area for border effects, and without even taking into account the possible presence of credible independent retailers, the market share of the new entity is below [30-40]%, and it will face competition from five competing groups.</w:t>
      </w:r>
    </w:p>
    <w:p>
      <w:r>
        <w:t>68. In the other areas, the Authority notes that there exists, in addition to stores belonging to competing brand networks of the parties, a sufficient number of credible independent retailer points of sale41, allowing for a significant reduction in the market share levels of the new entity42 and, thereby, disciplining its behavior following the operation.</w:t>
      </w:r>
    </w:p>
    <w:p>
      <w:r>
        <w:t>69. Therefore, given the existence of a credible and sufficient alternative offer, any risk of harm to competition can be dismissed in the areas of Amiens Glisy, Brest, Laval, Montélimar, Poitiers, Saint-Étienne, and Villefranche-sur-Saône.</w:t>
      </w:r>
    </w:p>
    <w:p>
      <w:r>
        <w:t>40 These stores are located 21 to 22 minutes away from the target store Minelli located in the Amiens Glisy shopping center, and were therefore not included in the competitive analysis that served as the basis for the first filtering, which is based on a catchment area of 20 minutes around the target stores located in shopping centers.</w:t>
      </w:r>
    </w:p>
    <w:p>
      <w:r>
        <w:t>41 At least three credible independent retailers were identified in each of these areas.</w:t>
      </w:r>
    </w:p>
    <w:p>
      <w:r>
        <w:t>42 In each of these areas, the market share of the new entity after taking into account the independent retailers is below 35%.</w:t>
      </w:r>
    </w:p>
    <w:p>
      <w:r>
        <w:rPr>
          <w:b/>
        </w:rPr>
        <w:t>[Pages 16–18]</w:t>
      </w:r>
    </w:p>
    <w:p>
      <w:r>
        <w:t>Analysis of the 13 areas in which the market share of the new entity is greater than 50% and requiring a thorough examination after the first filtering</w:t>
      </w:r>
    </w:p>
    <w:p>
      <w:r>
        <w:t>70. In 13 areas, after the first filtering, the market share of the new entity is greater than 50% following the operation. The affected areas are Ajaccio, Angoulême, Annemasse, Bastia, Compiègne, Flers, Mulhouse, Pont-Sainte-Marie, Roanne, Thonon-les-Bains, Troyes, Vienne, and Voiron.</w:t>
      </w:r>
    </w:p>
    <w:p>
      <w:r>
        <w:t>71. The market shares of the parties, the number of points of sale of the parties and their competitors in each area after the first filtering are presented below:</w:t>
      </w:r>
    </w:p>
    <w:p>
      <w:r>
        <w:t>| Area                  | Market Share of the New Entity | Number of Competing Groups | Number of Points of Sale of the New Entity | Number of Competing Points of Sale Present |</w:t>
        <w:br/>
        <w:t>|-----------------------|--------------------------------|----------------------------|--------------------------------------------|-------------------------------------------|</w:t>
        <w:br/>
        <w:t>| Ajaccio               | [50-60]%                       | 3                          | 3                                          | 4                                         |</w:t>
        <w:br/>
        <w:t>| Angoulême             | [80-90]%                       | 2                          | 1                                          | 1                                         |</w:t>
        <w:br/>
        <w:t>| Annemasse             | [60-70]%                       | 2                          | 2                                          | 2                                         |</w:t>
        <w:br/>
        <w:t>| Bastia                | 100%                           | 3                          | 0                                          | 0                                         |</w:t>
        <w:br/>
        <w:t>| Compiègne             | [50-60]%                       | 2                          | 2                                          | 2                                         |</w:t>
        <w:br/>
        <w:t>| Flers                 | 100%                           | 2                          | 0                                          | 0                                         |</w:t>
        <w:br/>
        <w:t>| Mulhouse              | [60-70]%                       | 2                          | 2                                          | 3                                         |</w:t>
        <w:br/>
        <w:t>| Pont-Sainte-Marie     | [50-60]%                       | 4                          | 5                                          | 6                                         |</w:t>
        <w:br/>
        <w:t>| Roanne                | 100%                           | 2                          | 0                                          | 0                                         |</w:t>
        <w:br/>
        <w:t>| Thonon-les-Bains      | [50-60]%                       | 2                          | 2                                          | 2                                         |</w:t>
        <w:br/>
        <w:t>| Troyes                | [80-90]%                       | 2                          | 1                                          | 1                                         |</w:t>
        <w:br/>
        <w:t>| Vienne                | 100%                           | 2                          | 0                                          | 0                                         |</w:t>
        <w:br/>
        <w:t>| Voiron                | 100%                           | 2                          | 0                                          | 0                                         |</w:t>
      </w:r>
    </w:p>
    <w:p>
      <w:r>
        <w:t>72. A more detailed analysis of each of these areas is presented below.</w:t>
      </w:r>
    </w:p>
    <w:p>
      <w:r>
        <w:t>Ajaccio Area</w:t>
      </w:r>
    </w:p>
    <w:p>
      <w:r>
        <w:t>73. In the Ajaccio area, the new entity will operate three points of sale. After the first filtering, the market share in surface area of the new entity was estimated at [50-60]%.</w:t>
      </w:r>
    </w:p>
    <w:p>
      <w:r>
        <w:t>74. In this area, the new entity will nevertheless face the presence of four branded stores representing three competing groups, and at least four stores of independent retailers whose competitive pressure was deemed credible, which together will prevent any unilateral price increase or any reduction in the quality of services offered and thus the exercise of market power by the new entity, since this would result in a shift of consumers towards these competing stores. The market share in surface area of the new entity after taking into account the stores of independent retailers is thus [30-40]%.</w:t>
      </w:r>
    </w:p>
    <w:p>
      <w:r>
        <w:t>75. Consequently, given the existence of a credible and sufficient alternative offer, any risk of harm to competition can be dismissed in the Ajaccio area.</w:t>
      </w:r>
    </w:p>
    <w:p>
      <w:r>
        <w:t>Angoulême Area</w:t>
      </w:r>
    </w:p>
    <w:p>
      <w:r>
        <w:t>76. In the Angoulême area, the new entity will operate two points of sale. It will notably face the presence of one competing branded store. After the first filtering, the market share in surface area of the new entity was estimated at [80-90]%.</w:t>
      </w:r>
    </w:p>
    <w:p>
      <w:r>
        <w:t>77. Nevertheless, the Authority identified, in the Angoulême area, at least three stores of independent retailers likely to exert additional competitive pressure on the points of sale of the parties following the operation. The market share in surface area of the new entity after taking into account the stores of independent retailers is thus [50-60]%.</w:t>
      </w:r>
    </w:p>
    <w:p>
      <w:r>
        <w:t>78. Furthermore, the Galeries Lafayette in Angoulême are also present in this area. The competitive pressure exerted by such a retailer, although difficult to quantify precisely due to the variety of brands and types of shoes sold in the same sales space, is certain given the sales area dedicated to shoes (according to the notifying party, nearly 200 m² of sales area is dedicated to shoes out of the 3,500 m² available) and the (not negligible) turnover generated through these products. By way of indication, the market share of the new entity after taking into account this additional sales area is [30-50]%.</w:t>
      </w:r>
    </w:p>
    <w:p>
      <w:r>
        <w:t>79. The competitive pressure exerted by the branded store, by the independent retailers, and by the Galeries Lafayette will be sufficient to prevent any unilateral price increase or any reduction in the quality of services offered and thus the exercise of market power by the new entity, since this would result in a shift of consumers towards the competing stores.</w:t>
      </w:r>
    </w:p>
    <w:p>
      <w:r>
        <w:t>80. Consequently, given the existence of a credible and sufficient alternative offer, any risk of harm to competition can be dismissed in the Angoulême area.</w:t>
      </w:r>
    </w:p>
    <w:p>
      <w:r>
        <w:t>Annemasse Area</w:t>
      </w:r>
    </w:p>
    <w:p>
      <w:r>
        <w:t>81. In the Annemasse area, the new entity will operate two points of sale. It will notably face the presence of two branded stores belonging to two competing groups. After the first filtering, the market share in surface area of the new entity was estimated at [60-70]%.</w:t>
      </w:r>
    </w:p>
    <w:p>
      <w:r>
        <w:t>82. The Authority also identified, in the Annemasse area, an independent retailer likely to exert additional competitive pressure on the points of sale of the parties following the operation. This retailer has several points of sale in Haute-Savoie and Savoie and indicated that the Annemasse store was one of its largest in terms of area, its activity being largely focused on female customers and the mid-range.</w:t>
      </w:r>
    </w:p>
    <w:p>
      <w:r>
        <w:t>83. The competitive pressure exerted on the one hand by the branded stores and, on the other hand, by this independent retailer, will be sufficient to prevent any unilateral price increase or any reduction in the quality of services offered and thus the exercise of market power by the new entity, since this would result in a shift of consumers towards the competing stores. The market share in surface area of the new entity after taking into account the stores of independent retailers is thus [50-60]%.</w:t>
      </w:r>
    </w:p>
    <w:p>
      <w:r>
        <w:t>84. Consequently, given the existence of a credible and sufficient alternative offer, any risk of harm to competition can be dismissed in the Annemasse area.</w:t>
      </w:r>
    </w:p>
    <w:p>
      <w:r>
        <w:t>Bastia Area</w:t>
      </w:r>
    </w:p>
    <w:p>
      <w:r>
        <w:t>85. In the Bastia area, the new entity will operate three points of sale. After the first filtering, no stores belonging to competing branded networks selling mid-range shoes were identified, leading to the market share of the new entity being equal to 100%.</w:t>
      </w:r>
    </w:p>
    <w:p>
      <w:r>
        <w:t>86. Nevertheless, the Authority considered that, in the Bastia area, at least six stores of independent retailers are likely to exert strong competitive pressure on the points of sale of the parties following the operation. The competitive pressure exerted by these various stores is sufficient to prevent any unilateral price increase or any reduction in the quality of services offered and thus the exercise of market power by the new entity, since this would result in a shift of consumers towards the competing stores. The market share in surface area of the new entity after taking into account the stores of independent retailers is thus [50-60]%.</w:t>
      </w:r>
    </w:p>
    <w:p>
      <w:r>
        <w:t>87. Consequently, given the existence of a credible and sufficient alternative offer, any risk of harm to competition can be dismissed in the Bastia area.</w:t>
      </w:r>
    </w:p>
    <w:p>
      <w:r>
        <w:t>Compiègne Area</w:t>
      </w:r>
    </w:p>
    <w:p>
      <w:r>
        <w:t>88. In the Compiègne area, the new entity will operate two points of sale. It will notably face the presence of two branded stores belonging to two competing groups. After the first filtering, the market share in surface area of the new entity was estimated at [50-60]%.</w:t>
      </w:r>
    </w:p>
    <w:p>
      <w:r>
        <w:t>89. Nevertheless, the Authority identified, in the Compiègne area, at least three stores of independent retailers likely to exert additional competitive pressure on the points of sale of the parties following the operation.</w:t>
      </w:r>
    </w:p>
    <w:p>
      <w:r>
        <w:t>90. The competitive pressure exerted on the one hand by the branded stores and, on the other hand, by these independent retailers, will be sufficient to prevent any unilateral price increase or any reduction in the quality of services offered and thus the exercise of market power by the new entity, since this would result in a shift of consumers towards the competing stores. The market share in surface area of the new entity after taking into account the stores of independent retailers is thus [30-40]%.</w:t>
      </w:r>
    </w:p>
    <w:p>
      <w:r>
        <w:t>91. Consequently, given the existence of a credible and sufficient alternative offer, any risk of harm to competition can be dismissed in the Compiègne area.</w:t>
      </w:r>
    </w:p>
    <w:p>
      <w:r>
        <w:t>Flers Area</w:t>
      </w:r>
    </w:p>
    <w:p>
      <w:r>
        <w:t>92. In the Flers area, the new entity will operate two points of sale. After the first filtering, no stores belonging to competing branded networks selling mid-range shoes were identified, leading to the market share of the new entity being equal to 100%.</w:t>
      </w:r>
    </w:p>
    <w:p>
      <w:r>
        <w:t>93. Nevertheless, the Authority considered that, in the Flers area, at least three stores of independent retailers are likely to exert strong competitive pressure on the points of sale of the parties following the operation in terms of city shoes and mid-range shoes for women. Two of these stores also belong to retailers.</w:t>
      </w:r>
    </w:p>
    <w:p>
      <w:r>
        <w:rPr>
          <w:b/>
        </w:rPr>
        <w:t>[Pages 19–21]</w:t>
      </w:r>
    </w:p>
    <w:p>
      <w:r>
        <w:t>having local notoriety as they are also established in surrounding municipalities. The competitive pressure exerted by these various stores is likely to prevent any unilateral price increase or any reduction in the quality of services offered and thus the exercise of market power by the new entity, as this would result in a shift of consumers to competing stores. The market share in surface area of the new entity, after taking into account the stores of independent retailers, is thus [30-40] %.</w:t>
      </w:r>
    </w:p>
    <w:p>
      <w:r>
        <w:t>94. Consequently, given the existence of a credible and sufficient alternative offer, any risk of harm to competition can be dismissed in the Flers area.</w:t>
      </w:r>
    </w:p>
    <w:p>
      <w:r>
        <w:t>Mulhouse Area</w:t>
        <w:br/>
        <w:t>95. In the Mulhouse area, the new entity will operate two points of sale. It will notably face the presence of three branded stores belonging to two competing groups. After the first filtering, the market share in surface area of the new entity was estimated at [60-70] %.</w:t>
      </w:r>
    </w:p>
    <w:p>
      <w:r>
        <w:t>96. Nevertheless, the Authority identified, in the Mulhouse area, at least six independent retail stores likely to exert additional competitive pressure on the parties' points of sale following the operation.</w:t>
      </w:r>
    </w:p>
    <w:p>
      <w:r>
        <w:t>97. The competitive pressure exerted on the one hand by the branded stores and, on the other hand, by these independent retailers, will be likely to prevent any unilateral price increase or any reduction in the quality of services offered and thus the exercise of market power by the new entity, as this would result in a shift of consumers to competing stores. The market share in surface area of the new entity, after taking into account the stores of independent retailers, is thus [30-40] %.</w:t>
      </w:r>
    </w:p>
    <w:p>
      <w:r>
        <w:t>98. Consequently, given the existence of a credible and sufficient alternative offer, any risk of harm to competition can be dismissed in the Mulhouse area.</w:t>
      </w:r>
    </w:p>
    <w:p>
      <w:r>
        <w:t>Pont Sainte-Marie Area</w:t>
        <w:br/>
        <w:t>99. In the area centered around the Minelli point of sale in Pont Sainte-Marie, the new entity will operate four points of sale, two of which are located in the shopping center in this municipality, and two others are located in the adjacent city of Troyes. After the first filtering, the market share in surface area of the new entity, taking into account all competing points of sale located within 20 minutes or less by car, was estimated at [50-60] %. The parties' stores will face the presence of six branded stores belonging to five competing groups.</w:t>
      </w:r>
    </w:p>
    <w:p>
      <w:r>
        <w:t>100. The Authority has additionally identified, in this area, at least two independent retail stores that will exert additional competitive pressure on the parties' points of sale following the operation.</w:t>
      </w:r>
    </w:p>
    <w:p>
      <w:r>
        <w:t>101. The competitive pressure exerted on the one hand by the branded stores and, on the other hand, by these independent retailers, will be likely to prevent any unilateral price increase or any reduction in the quality of services offered and thus the exercise of market power by the new entity, as this would result in a shift of consumers to competing stores. The market share in surface area of the new entity, after taking into account the stores of independent retailers, is [40-50] %.</w:t>
      </w:r>
    </w:p>
    <w:p>
      <w:r>
        <w:t>102. Consequently, given the existence of a credible and sufficient alternative offer, any risk of harm to competition can be dismissed in the Pont Sainte-Marie area.</w:t>
      </w:r>
    </w:p>
    <w:p>
      <w:r>
        <w:t>Roanne Area</w:t>
        <w:br/>
        <w:t>103. In the Roanne area, the new entity will operate two points of sale. After the first filtering, no stores belonging to competing branded networks selling mid-range shoes were identified, leading to the market share of the new entity being equal to 100 %.</w:t>
      </w:r>
    </w:p>
    <w:p>
      <w:r>
        <w:t>104. Nevertheless, the Authority considered that, in the Roanne area, at least three independent retail stores are likely to exert strong competitive pressure on the parties' points of sale following the operation. The competitive pressure exerted by these various stores is likely to prevent any unilateral price increase or any reduction in the quality of services offered and thus the exercise of market power by the new entity, as this would result in a shift of consumers to competing stores. The market share in surface area of the new entity, after taking into account the stores of independent retailers, is thus [40-50] %.</w:t>
      </w:r>
    </w:p>
    <w:p>
      <w:r>
        <w:t>105. Consequently, given the existence of a credible and sufficient alternative offer, any risk of harm to competition can be dismissed in the Roanne area.</w:t>
      </w:r>
    </w:p>
    <w:p>
      <w:r>
        <w:t>Thonon-les-Bains Area</w:t>
        <w:br/>
        <w:t>106. In the Thonon-les-Bains area, the new entity will operate two points of sale. It will notably face the presence of two branded stores belonging to two competing groups. After the first filtering, the market share in surface area of the new entity was estimated at [50-60] %.</w:t>
      </w:r>
    </w:p>
    <w:p>
      <w:r>
        <w:t>107. Nevertheless, the Authority identified, in the Thonon-les-Bains area, at least three independent retail stores likely to exert additional competitive pressure on the parties' points of sale following the operation.</w:t>
      </w:r>
    </w:p>
    <w:p>
      <w:r>
        <w:t>108. The competitive pressure exerted on the one hand by the branded stores and, on the other hand, by these independent retailers, will be likely to prevent any unilateral price increase or any reduction in the quality of services offered and thus the exercise of market power by the new entity, as this would result in a shift of consumers to competing stores. The market share in surface area of the new entity, after taking into account the stores of independent retailers, is thus [30-40] %. Consequently, given the existence of a credible and sufficient alternative offer, any risk of harm to competition can be dismissed in the Thonon-les-Bains area.</w:t>
      </w:r>
    </w:p>
    <w:p>
      <w:r>
        <w:t>Troyes Area</w:t>
        <w:br/>
        <w:t>109. In the area centered around the Minelli point of sale in Troyes, in accordance with the decision-making practice recalled above in point 28 supra, only the stores located strictly within the city of Troyes were retained during the first filtering, resulting in a market share of [80-90] % after the first filtering. However, it is necessary in this area to take into account all points of sale of the parties and competing branded stores located in municipalities on the outskirts of the city of Troyes and housed in shopping centers less than twenty minutes' drive from the target store44. Their inclusion leads to a decrease in the market share of the new entity to [50-60] %.</w:t>
      </w:r>
    </w:p>
    <w:p>
      <w:r>
        <w:t>110. The Authority has additionally identified, in the Troyes area, at least two independent retail stores that will exert additional competitive pressure on the parties' points of sale following the operation.</w:t>
      </w:r>
    </w:p>
    <w:p>
      <w:r>
        <w:t>111. Overall, the competitive pressure exerted on the one hand by the branded stores and, on the other hand, by the independent retailers located in and around the city of Troyes, will be likely to prevent any unilateral price increase or any reduction in the quality of services offered and thus the exercise of market power by the new entity, as this would result in a shift of consumers to competing stores. In the Troyes area, the market share in surface area of the new entity, after taking into account the stores of independent retailers and the stores located on the outskirts of the city of Troyes, is [40-50] %.</w:t>
      </w:r>
    </w:p>
    <w:p>
      <w:r>
        <w:t>112. Consequently, given the existence of a credible and sufficient alternative offer, any risk of harm to competition can be dismissed in the Troyes area.</w:t>
      </w:r>
    </w:p>
    <w:p>
      <w:r>
        <w:t>Vienne Area</w:t>
        <w:br/>
        <w:t>113. In the Vienne area, the new entity will operate two points of sale. After the first filtering, no stores belonging to competing branded networks selling mid-range shoes were identified, leading to the market share of the new entity being equal to 100 %.</w:t>
      </w:r>
    </w:p>
    <w:p>
      <w:r>
        <w:t>114. Nevertheless, the Authority considered that, in the Vienne area, at least five independent retail stores are likely to exert strong competitive pressure on the parties' points of sale following the operation. The competitive pressure exerted by these various stores is likely to prevent any unilateral price increase or any reduction in the quality of services offered and thus the exercise of market power by the new entity, as this would result in a shift of consumers to competing stores. The market share in surface area of the new entity, after taking into account the stores of independent retailers, is thus [40-50] %.</w:t>
      </w:r>
    </w:p>
    <w:p>
      <w:r>
        <w:t>115. Consequently, given the existence of a credible and sufficient alternative offer, any risk of harm to competition can be dismissed in the Vienne area.</w:t>
      </w:r>
    </w:p>
    <w:p>
      <w:r>
        <w:t>Voiron Area</w:t>
        <w:br/>
        <w:t>116. In the Voiron area, the new entity will operate two points of sale. After the first filtering, no stores belonging to competing branded networks selling mid-range shoes were identified, leading to the market share of the new entity being equal to 100 %.</w:t>
      </w:r>
    </w:p>
    <w:p>
      <w:r>
        <w:t>117. Nevertheless, the Authority considered that, in the Voiron area, at least three independent retail stores are likely to exert strong competitive pressure on the parties' points of sale following the operation. The competitive pressure exerted by these various stores is likely to prevent any unilateral price increase or any reduction in the quality of services offered and thus the exercise of market power by the new entity, as this would result in a shift of consumers to competing stores.</w:t>
      </w:r>
    </w:p>
    <w:p>
      <w:r>
        <w:rPr>
          <w:b/>
        </w:rPr>
        <w:t>[Pages 22–23]</w:t>
      </w:r>
    </w:p>
    <w:p>
      <w:r>
        <w:t>new entity, as this would result in a shift of consumers towards competing stores. The surface market share of the new entity, after taking into account the stores of independent retailers, is thus [40-50]%.</w:t>
      </w:r>
    </w:p>
    <w:p>
      <w:r>
        <w:t>118. Consequently, given the existence of a credible and sufficient alternative offer, any risk of harm to competition can be dismissed in the area of Voiron.</w:t>
      </w:r>
    </w:p>
    <w:p>
      <w:r>
        <w:t>* * *</w:t>
      </w:r>
    </w:p>
    <w:p>
      <w:r>
        <w:t>119. In light of the analysis set out above, any risk of harm to competition through horizontal effects can be dismissed at both the national and local levels in the retail shoe distribution markets.</w:t>
      </w:r>
    </w:p>
    <w:p>
      <w:r>
        <w:t>22</w:t>
      </w:r>
    </w:p>
    <w:p>
      <w:r>
        <w:t>DECIDES</w:t>
      </w:r>
    </w:p>
    <w:p>
      <w:r>
        <w:t>Sole Article: The operation notified under number 21-150 is authorized.</w:t>
      </w:r>
    </w:p>
    <w:p>
      <w:r>
        <w:t>The President,</w:t>
        <w:br/>
        <w:t>Benoît Cœuré</w:t>
      </w:r>
    </w:p>
    <w:p>
      <w:r>
        <w:t> Competition Authority</w:t>
        <w:br/>
        <w:t>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