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https://www.autoritedelaconcurrence.fr/fr/decision-de-controle-des-concentrations/relative-la-prise-de-controle-exclusif-de-minerva-athena</w:t>
      </w:r>
    </w:p>
    <w:p>
      <w:r>
        <w:t>Pages translated : 12</w:t>
      </w:r>
    </w:p>
    <w:p/>
    <w:p>
      <w:r>
        <w:rPr>
          <w:b/>
        </w:rPr>
        <w:t>[Pages 1–3]</w:t>
      </w:r>
    </w:p>
    <w:p>
      <w:r>
        <w:t xml:space="preserve">FRENCH REPUBLIC  </w:t>
        <w:br/>
        <w:t xml:space="preserve">Decision No. 16-DCC-187 of December 2, 2016  </w:t>
        <w:br/>
        <w:t>regarding the exclusive control of Minerva Athena by Naxicap Partners</w:t>
      </w:r>
    </w:p>
    <w:p>
      <w:r>
        <w:t xml:space="preserve">The Competition Authority,  </w:t>
        <w:br/>
        <w:t xml:space="preserve">Having regard to the notification file sent to the merger service on September 20, 2016, and declared complete on October 7, 2016, regarding the exclusive control of Minerva Athena by Naxicap Partners, formalized by a sale option and a draft sale contract dated July 22,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Naxicap Partners (hereinafter, "Naxicap") is 100% owned by Natixis, which is predominantly owned by Banque Populaire and Caisse d’Épargne (hereinafter, "BPCE"). Naxicap is a portfolio management company that supports capital development projects, capital restructuring, diversification of the assets of managers, financing of transmission and creation, with interventions in equity. BPCE controls, prior to the operation, the company Ellisphère (formerly known as Coface Services). The latter provides economic and financial information on companies in France and worldwide.  </w:t>
        <w:br/>
        <w:t>2. Minerva Athena is a simplified joint-stock company, the parent company of the Altares group (hereinafter "Altares"), which includes the companies Altares D&amp;B, Manageo SAS, Liberfi SAS, Bilans Services SAS, and Inforisk Altares Africa. Altares' main activity is the collection of legal and financial data from third-party companies, which are then aggregated and enriched for a clientele seeking marketing information and information regarding the solvency of these companies. Altares is a member of the Dun &amp; Bradstreet network. In this regard, the group has entered into an exclusive contract for France with Dun &amp; Bradstreet for affiliation and brand licensing.</w:t>
      </w:r>
    </w:p>
    <w:p>
      <w:r>
        <w:t xml:space="preserve">3. Under the draft sale contract annexed to the sale option signed by the parties on July 22, 2016, Naxicap commits to acquiring [...]% of the share capital and voting rights of Minerva Athena. As it results in the exclusive control of Altares by Naxicap, the notified operation constitutes a concentration within the meaning of Article L. 430-1 of the Commercial Code.  </w:t>
        <w:br/>
        <w:t>4. The companies concerned together achieve a total worldwide turnover excluding tax of more than 150 million euros (BPCE: [...] euros for the fiscal year ending December 31, 2015; Altares: [...] euros for the same fiscal year). Each of these companies has achieved a turnover in France exceeding 50 million euros (BPCE: [...] euros for the fiscal year ending December 31, 2015; Altares: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Altares and Ellisphère, a subsidiary of BPCE, are simultaneously present in the market for business information services in France.  </w:t>
        <w:br/>
        <w:t xml:space="preserve">A. SERVICE MARKETS  </w:t>
        <w:br/>
        <w:t xml:space="preserve">6. The Authority has defined the activity of providing business information as the collection of legal and financial data on companies to be enriched for a clientele seeking marketing information and information on the solvency of companies. It has identified an upstream market for the dissemination of legal and economic information relating to companies. This information is collected by companies such as Altares and Ellisphère, which process it and then provide various services to their clients in the intermediate market for business information provision.  </w:t>
        <w:br/>
        <w:t>7. In this sector, practice has highlighted the importance of legal publicity registers, which are the source of the information collected, processed, and analyzed.</w:t>
      </w:r>
    </w:p>
    <w:p>
      <w:r>
        <w:t xml:space="preserve">1. THE UPSTREAM MARKET FOR THE DISSEMINATION OF LEGAL AND ECONOMIC INFORMATION RELATING TO COMPANIES  </w:t>
        <w:br/>
        <w:t xml:space="preserve">8. Article L. 123-1 of the Commercial Code states that "a register of commerce and companies is maintained," in which are notably registered individuals with the status of merchant, commercial companies established in France, and French public establishments of an industrial and commercial nature. The register of commerce and companies (hereinafter "RCS") includes all declarations relating to registrations, modifications, and deletions of companies, as well as acts related to the economic and social life of companies. At the local level, the RCS is maintained by the clerk of the commercial court of the location of the company's headquarters or establishment. A national register (national register of commerce and companies or "RNCS") is maintained by the National Institute of Industrial Property (hereinafter "INPI"), which centralizes the information transmitted by the clerks of the commercial courts.  </w:t>
        <w:br/>
        <w:t xml:space="preserve">9. According to comparable modalities to those in force for the RCS, the clerks are also responsible for maintaining other legal publicity registers related to the indebtedness status of companies and the rights and guarantees of creditors (privilege of the Public Treasury in tax matters, privilege of Social Security and complementary schemes, sale and pledge of business assets, leasing, registration in the special register of loans and deadlines, etc.). Unlike the information contained in local RCS, the information from these legal publicity registers is not centralized by the INPI at the national level. Furthermore, the regulations applicable to these registers provide for more restricted publicity as these data relate to the indebtedness status of individuals.  </w:t>
        <w:br/>
        <w:t xml:space="preserve">10. In addition to the INPI, which centralizes local RCS, the clerks are also in contact with the Official Bulletin of Civil and Commercial Announcements (BODACC), which publishes registrations and notices on certain events recorded in the RCS, and with the National Institute of Statistics and Economic Studies (INSEE), which assigns to each new registrant in the RCS an identifier kept in the SIRENE directory of companies and establishments. Finally, each of the clerks of the commercial courts in metropolitan France is individually a member of the economic interest group Infogreffe (hereinafter "Infogreffe"), which is responsible for disseminating the legal activity of the latter through licenses or annual contracts.  </w:t>
        <w:br/>
        <w:t xml:space="preserve">11. The information contained in these registers is of particular interest to intermediaries in business information and their clients, notably operators in the credit and insurance markets for covering their credit risk.  </w:t>
        <w:br/>
        <w:t xml:space="preserve">12. The legal framework applicable to public data has recently evolved towards broader free availability of this data. In this regard, Law No. 2015-990 of August 6, 2015, for growth, activity, and equal economic opportunities provided for the free transmission of RCS data by clerks to the INPI. The law thus provides that all data from the RNCS is to be made available free of charge (turnover, workforce, etc.). The official acts themselves (documents that reference, such as the Kbis, mandatory in the case of company creation) remain chargeable and only available on the original site. Free online consultation of the data will be carried out under the auspices of the INPI. A decree specifies the modalities "according to which the INPI ensures the dissemination and free availability to the public, for reuse purposes, of the technical, commercial, and financial information contained in the national register of commerce." In accordance with the provisions of Decree No. 2015-1905 of December 30, 2015, this data should be available on the INPI website starting in March 2017.  </w:t>
        <w:br/>
        <w:t xml:space="preserve">13. Infogreffe has simultaneously created the website Datainfogreffe to allow for free availability of certain RCS data.  </w:t>
        <w:br/>
        <w:t>14. Furthermore, Law No. 2015-1179 of December 28, 2015, regarding the free availability and modalities for the reuse of public sector information was adopted to ensure the transposition of Directive 2013/37/EU of the European Parliament and of the Council of June 26, 2013, amending Directive 2003/98/EC of November 17, 2003, concerning the reuse of public sector information. In this regard, it establishes a principle of free access to public sector information and expands the possibilities for the reuse of this information.</w:t>
      </w:r>
    </w:p>
    <w:p>
      <w:r>
        <w:rPr>
          <w:b/>
        </w:rPr>
        <w:t>[Pages 4–6]</w:t>
      </w:r>
    </w:p>
    <w:p>
      <w:r>
        <w:t xml:space="preserve">Elle encadre strictement les possibilités d’imposer, par dérogation au droit commun, une redevance de réutilisation des données et restreint les possibilités d’accorder des droits exclusifs tout en les limitant dans le temps.  </w:t>
        <w:br/>
        <w:t xml:space="preserve">15. Law No. 2016-1321 of October 7, 2016, for a Digital Republic, provides for the free availability (in "open data") of the SIRENE directory from INSEE, starting in January 2017.  </w:t>
        <w:br/>
        <w:t xml:space="preserve">16. The first market test conducted in connection with the present operation confirmed the relevance of delineating an upstream market corresponding to the provision of legal and economic data related to companies by public or private operators. In this case, however, the exact delineation of this market may remain open, as the conclusions of the analysis will remain unchanged, with the parties only participating in the upstream markets as demanders.  </w:t>
        <w:br/>
        <w:t xml:space="preserve">2. THE INTERMEDIARY MARKET FOR PROVIDING INFORMATION TO COMPANIES  </w:t>
        <w:br/>
        <w:t xml:space="preserve">17. The Authority described the offer of intermediaries active in the markets for providing information to companies by stating that "private operators process information from legal publicity registers by adding value that may consist of providing analyses, ratios, and scores to assess the financial status and solvency of companies or by reconstructing information obtained from sources other than the various RCS or RNCS."  </w:t>
        <w:br/>
        <w:t xml:space="preserve">18. Thus, operators active in these markets acquire information from public registers from operators such as Infogreffe, INPI, INSEE, or legal announcement newspapers, then process, analyze, and enrich this information to offer various services to their clients.  </w:t>
        <w:br/>
        <w:t xml:space="preserve">19. In this case, the notifying party proposed to define a global market for information services to companies including the various types of information, except for raw data from upstream operators.  </w:t>
        <w:br/>
        <w:t xml:space="preserve">20. A second approach proposed by the notifying party consists of retaining a segmented market by type of services offered to companies, namely:  </w:t>
        <w:br/>
        <w:t xml:space="preserve">i. services intended for credit risk assessment, clients, and suppliers, which mainly consist of providing information to companies about the solvency of their clients or suppliers, notably through the establishment of ratings or "scoring" assigned to these entities. The data can be purchased by clients on a dedicated portal or integrated into their information systems. The notifying party believes it is not relevant to include credit insurers, factors, and collection agencies in this market;  </w:t>
        <w:br/>
        <w:t xml:space="preserve">ii. the provision of collection software, which consists of providing turnkey solutions to companies to leverage their data and enable intelligent management of their collections;  </w:t>
        <w:br/>
        <w:t xml:space="preserve">iii. business development services that may particularly correspond to the creation of prospecting files or customer targeting;  </w:t>
        <w:br/>
        <w:t xml:space="preserve">iv. the creation of marketplaces which are digital solutions directly accessible by users as opposed to traditional subscription or file purchase solutions. Their uses can be varied: one-stop shop for administrative procedures assistance for SMEs, platform aimed at facilitating access to financing for SMEs, business matchmaking site, etc.;  </w:t>
        <w:br/>
        <w:t xml:space="preserve">v. compliance services, and in particular the management of databases known as "LEI" (Legal Entity Identifier) allowing the identification of participants in financial markets as well as tools enabling the verification of the ultimate owners of client or supplier companies.  </w:t>
        <w:br/>
        <w:t xml:space="preserve">21. According to the responses obtained during the market tests conducted in this case, it appears relevant to analyze the market for providing information to companies both at a global level and by segmenting it by type of services, each corresponding to a different need of the client company (marketing, collection, solvency). In this regard, the investigation confirmed the relevance of the segments proposed by the parties.  </w:t>
        <w:br/>
        <w:t xml:space="preserve">22. Final clients also have the option to acquire information directly from public sources such as Infogreffe or INSEE, raising the question of their inclusion in the intermediary market for providing information to companies. On this point, data providers interviewed during the investigation indicated that they are not competitors of their intermediary clients. However, some actors in the provision of information to companies believe that their suppliers exert significant competitive pressure on them. Some clients of the parties, however, indicated that raw data, as provided by public information sources, were not sufficient to replace the data provided by sector intermediaries. In this case, the market will be analyzed in its narrowest segmentation, that is to say, without including raw data providers, but the competitive pressure they exert will be taken into account in the competitive analysis.  </w:t>
        <w:br/>
        <w:t xml:space="preserve">23. The market test further refuted the necessity to segment the different markets identified above more finely, with respondents considering it was not relevant to distinguish by sector of activity.  </w:t>
        <w:br/>
        <w:t xml:space="preserve">24. The competitive analysis will therefore focus on a global market for providing information to companies, as well as on each of its segments.  </w:t>
        <w:br/>
        <w:t xml:space="preserve">B. GEOGRAPHICAL MARKETS  </w:t>
        <w:br/>
        <w:t xml:space="preserve">25. The notifying party argued that the market for information services could be considered as having a supranational dimension, as it is observed that data is not used solely by national clients but also by international ones, and international networks allowing access to international data are being established.  </w:t>
        <w:br/>
        <w:t xml:space="preserve">26. Regarding the upstream market, respondents to the market test expressed a preference for a national delineation of the market, particularly due to the specific regulations in each country. Indeed, the main data in the market comes from local and national registers maintained by the clerks of commercial courts, and most of the suppliers present in these markets (INSEE, Infogreffe, INPI) are only present at the national level.  </w:t>
        <w:br/>
        <w:t xml:space="preserve">27. Regarding the downstream market, respondents to the market test predominantly indicated that they only offer their services at the national level, where commercial negotiations are also most often conducted. The same observation applies to clients who responded to the market test.  </w:t>
        <w:br/>
        <w:t xml:space="preserve">28. Therefore, the competitive analysis will be conducted on markets of national dimension, both upstream and downstream.  </w:t>
        <w:br/>
        <w:t xml:space="preserve">III. Competitive Analysis  </w:t>
        <w:br/>
        <w:t xml:space="preserve">29. The parties are simultaneously active in the global market for information services to companies as well as in the segments of credit risk analysis, business development, and compliance. Only Altares is present in the segments of collection software and marketplaces. Furthermore, the operation may lead to vertical effects as the parties market their services to banking institutions such as BPCE. They are also present as clients in the upstream markets.  </w:t>
        <w:br/>
        <w:t xml:space="preserve">A. EFFECTS OF THE OPERATION ON THE UPSTREAM MARKET FOR THE ELECTRONIC DISSEMINATION OF LEGAL AND ECONOMIC INFORMATION RELATING TO COMPANIES  </w:t>
        <w:br/>
        <w:t xml:space="preserve">30. The notifying party estimates that the parties represent less than [10-20]% of purchases of legal and economic data in France. This position is therefore not likely to confer on the new entity a market power that could raise a competition issue in the French market for the dissemination of legal and economic information, particularly in a context where the free availability of part of this data is provided for by the new legislative and regulatory framework.  </w:t>
        <w:br/>
        <w:t xml:space="preserve">31. However, respondents to the market test, particularly the parties' competitors, argued that they would be able, following the operation, to benefit from preferential conditions from suppliers. It is therefore necessary to examine the risk of economic dependence of these latter (1). The question of the advantages conferred on the parties by suppliers, in terms of exclusivities in particular, which could strengthen the position of the new entity downstream following the operation must also be examined (2).  </w:t>
        <w:br/>
        <w:t xml:space="preserve">1. ON THE CREATION OR STRENGTHENING OF PURCHASING POWER  </w:t>
        <w:br/>
        <w:t xml:space="preserve">32. Article L. 430-6 of the Commercial Code provides for the possibility that an operation may harm competition by strengthening purchasing power that places suppliers in a situation of economic dependence.  </w:t>
        <w:br/>
        <w:t>33. Competition authorities consider that "the strengthening of purchasing power generally tends to benefit consumers, provided that it does not affect the structures of upstream and downstream markets."</w:t>
      </w:r>
    </w:p>
    <w:p>
      <w:r>
        <w:rPr>
          <w:b/>
        </w:rPr>
        <w:t>[Pages 7–9]</w:t>
      </w:r>
    </w:p>
    <w:p>
      <w:r>
        <w:t xml:space="preserve">il porterait atteinte à la concurrence, par exemple en diminuant les capacités financières ou de recherche et d’innovation de certains acteurs, que le renforcement d’une dépendance économique peut porter atteinte à la concurrence sur un marché.  </w:t>
        <w:br/>
        <w:t xml:space="preserve">34. According to the European Commission, an increase in purchasing power is not considered harmful to the economy when there is (i) a strong concentration of suppliers who hold significant negotiating power, and (ii) effective competition in the retail market forcing the concerned companies to pass on the price reductions obtained to consumers.  </w:t>
        <w:br/>
        <w:t xml:space="preserve">35. The Authority has already ruled on the cumulative criteria that may lead to establishing a risk of economic dependence of a supplier on a distributor. The criteria retained are as follows:  </w:t>
        <w:br/>
        <w:t xml:space="preserve">- the purchases made by the concerned distributor must represent a significant share of the supplier's turnover (a share of 22% of a supplier's sales has already been considered significant);  </w:t>
        <w:br/>
        <w:t xml:space="preserve">- the distributor enjoys strong brand recognition compared to the supplier, as may be the case in markets characterized by a strong presence of distributor brands. Conversely, in sectors where supplier brand products are particularly sought after by consumers, such as in the electronics markets, the risk of economic dependence is lower;  </w:t>
        <w:br/>
        <w:t xml:space="preserve">- the distributor holds a significant market share in the downstream markets;  </w:t>
        <w:br/>
        <w:t xml:space="preserve">- the supplier would be unable to find an alternative partner in the event of a breakdown of the contractual relationship.  </w:t>
        <w:br/>
        <w:t xml:space="preserve">36. In this case, none of these criteria are met.  </w:t>
        <w:br/>
        <w:t xml:space="preserve">37. Firstly, the purchases made by the parties represent a minority share of the turnover of several suppliers. The notifying party estimates that the purchases of the parties represent at most [10-20]% of their suppliers' sales in France.  </w:t>
        <w:br/>
        <w:t xml:space="preserve">38. Secondly, the suppliers of the parties also offer services directly to the clients of the latter, and the reputation of actors such as INSEE or Infogreffe is just as strong, if not stronger, than that of actors such as the parties. Furthermore, the sale of data to the parties and their competitors in the markets concerned by this operation represents only a part of the activity of these actors.  </w:t>
        <w:br/>
        <w:t xml:space="preserve">39. Thirdly, the market shares of the parties in the downstream markets will amount, following the operation, to [30-40]% in a global market for information that does not include the sales of suppliers or related businesses such as credit insurance, factoring, and debt collection (Altares: [10-20]%; Ellisphère: [10-20]%). At the level of the different segments, the combined market share of the parties does not exceed 25%, except in the credit risk segment, where it rises to [40-50]%.  </w:t>
        <w:br/>
        <w:t xml:space="preserve">40. Finally, the market for directory services is characterized by the presence of a large number of distributors. While not all are direct competitors of the parties, as they may be involved in similar but not identical directory activities to those of the parties, these actors, who represent [60-70]% of the market, provide an alternative outlet for suppliers.  </w:t>
        <w:br/>
        <w:t xml:space="preserve">41. Furthermore, it emerges from the market test that suppliers are able to offer their products directly to companies.  </w:t>
        <w:br/>
        <w:t xml:space="preserve">42. It follows from the above that the operation will not harm competition through the creation or strengthening of purchasing power, as suppliers, given the market shares of the latter, their negotiating power, and the various access routes to client companies, will not be dependent on the new entity.  </w:t>
        <w:br/>
        <w:t xml:space="preserve">2. THE ADVANTAGES GRANTED TO THE PARTIES BY THE SUPPLIERS  </w:t>
        <w:br/>
        <w:t xml:space="preserve">43. In addition to the potential economic dependence of suppliers, the competitors of the parties argue that they would be able, following the operation, to benefit from preferential conditions from suppliers, particularly volume discounts. Competing distributors thus believe that the operation could enable the parties to oust them by systematically obtaining better pricing conditions from suppliers.  </w:t>
        <w:br/>
        <w:t xml:space="preserve">44. Obtaining better pricing conditions due to increased purchase volume constitutes, however, an efficiency gain that cannot alone constitute a risk of harm to competition. Furthermore, market developments, notably the free provision of a certain number of data by suppliers, will lead to a decrease in data acquisition costs for all market players, as indicated by the market test.  </w:t>
        <w:br/>
        <w:t xml:space="preserve">45. It can finally be recalled that in the event of the implementation of exclusivity agreements, the provisions of Articles L. 420-1 of the Commercial Code and 101 of the Treaty on the Functioning of the European Union (TFEU) could apply. This could be the case if agreements between suppliers and the new entity were found to limit market access by other companies in the markets concerned. If the supplier is in a dominant position, Article L. 420-2 of the Commercial Code and Article 102 of the TFEU could also apply.  </w:t>
        <w:br/>
        <w:t xml:space="preserve">46. The operation is therefore not likely to produce anti-competitive effects in the upstream markets for the supply of electronic products at the French level.  </w:t>
        <w:br/>
        <w:t xml:space="preserve">B. EFFECTS OF THE OPERATION ON THE INTERMEDIARY MARKET FOR PROVIDING INFORMATION TO COMPANIES  </w:t>
        <w:br/>
        <w:t xml:space="preserve">1. HORIZONTAL EFFECTS  </w:t>
        <w:br/>
        <w:t xml:space="preserve">47. The position of the new entity will remain below 25% in the concerned markets, except for the overall information market and the credit risk segment.  </w:t>
        <w:br/>
        <w:t xml:space="preserve">a) In the market for directory services and the credit risk segment  </w:t>
        <w:br/>
        <w:t xml:space="preserve">48. The position of the new entity in the overall market for directory services will be [30-40]% (Altares: [10-20]%; Ellisphère: [10-20]%). In this market, the new entity will face competition from generalist players such as Experian ([5-10]%), Pouey International ([5-10]%), Société.com ([0-5]%), CreditSafe ([0-5%]), and Infolégale ([0-5]%).  </w:t>
        <w:br/>
        <w:t xml:space="preserve">49. In the segment of information related to credit risk assessment, clients and suppliers, the market share of the new entity, estimated by the notifying party, will rise to [40-50]% following the operation (Altares: [20-30]%; Ellisphère: [20-30]%). In this segment, the parties will face competition from players such as Pouey International ([10-20]%), CreditSafe ([5-10]%), Bureau Van Dijk ([10-20]%), and Experian ([5-10]%). Other competitors specializing in credit risk information such as Infolégale ([0-5]%) or Scores et Décisions ([0-5]%) are also present.  </w:t>
        <w:br/>
        <w:t xml:space="preserve">50. The new entity will therefore enjoy significant positions in the information market and in the credit risk segment. However, several elements allow for a nuanced view of the market power that the parties would be able to derive from this position.  </w:t>
        <w:br/>
        <w:t xml:space="preserve">51. Firstly, it should be noted that the market for directory services, as well as its various segments, is characterized by relatively low barriers to entry. Indeed, it results from the market test that the main barrier to entry in these markets is the investment required to establish databases. However, Law No. 2015-1179 of December 28, 2015, has significantly reduced this investment by providing free access to a number of data, including data extracted from the Kbis of companies. Many respondents to the market tests have thus highlighted the imminent reorganization of the directory services market in general, and credit risk analysis in particular, due to the upcoming implementation of the provisions of the law and its implementing texts. These operators anticipate, in particular, the arrival of new entrants due to the free availability of source data. One competitor of the parties stated that “[the law] will reduce access costs and many new entrants will be able to enter the market.”  </w:t>
        <w:br/>
        <w:t xml:space="preserve">52. Secondly, the information provided by the notifying party as well as the market test revealed that the clients of the parties and their competitors had significant negotiating power. Indeed, among the main clients of Altares are large banking groups ([confidential]), major telecom operators ([confidential]), and public actors ([confidential]). Similarly, Ellisphère counts among its clients actors such as [confidential]. The market test revealed that this was also the case for most of the parties' competitors. During the market test, these competitors mostly confirmed that their clients had significant negotiating power.  </w:t>
        <w:br/>
        <w:t xml:space="preserve">53. Likewise, several clients indicated that they had a certain countervailing power vis-à-vis their suppliers, particularly due to the scale of their purchase volumes and the use of tender mechanisms, allowing for effective competition, which was also confirmed by the second market test. One client noted that it would be entirely possible to “find another solution” in the event of a substantial increase in its rates by the new entity following the operation. Furthermore, it emerges from the responses to the market test that while changing suppliers of directory services may incur transition costs, these are not likely to deter the parties' clients from shifting their demand to other operators in the event of a price increase.  </w:t>
        <w:br/>
        <w:t>54. Thirdly, and as previously mentioned, the market is characterized by the presence of a relatively large number of players. Thus, respondents to the market test frequently cited among the main competitors of the parties the groups CreditSafe, Bureau Van Dijk, Scores et Décisions, LexisNexis, and Infolégale. Beyond the market shares of the concerned players, competition authorities take into account the intensity of the competition.</w:t>
      </w:r>
    </w:p>
    <w:p>
      <w:r>
        <w:rPr>
          <w:b/>
        </w:rPr>
        <w:t>[Pages 10–12]</w:t>
      </w:r>
    </w:p>
    <w:p>
      <w:r>
        <w:t>respondents to the market test frequently cited, among the main competitors of the parties, the groups CreditSafe, Bureau Van Dijk, Scores et Décisions, LexisNexis, and Infolégale. Beyond the market shares of the concerned actors, the competition authorities take into account the intensity of the competition emanating from certain players particularly active in the markets in question and designated as "francs-tireurs"8. In this case, in the market for directory services, as well as in the credit risk segment, Creditsafe is considered by its competitors to be a "franc-tireur," adopting a low-price positioning, which market operators believe is likely to constrain the commercial policy of the parties following the operation.</w:t>
      </w:r>
    </w:p>
    <w:p>
      <w:r>
        <w:t>55. Conversely, it emerges from the investigation that Ellisphère, previously the market leader, is experiencing a significant decline in its activity. Thus, while its turnover was [...] euros in 2013, it is estimated at [...] euros for the year 2015, representing a decrease of [...]% over two years. Some respondents to the market test have thus estimated that the operation aims, through cost mutualizations, to create the conditions for maintaining the competitiveness of Ellisphère's offering.</w:t>
      </w:r>
    </w:p>
    <w:p>
      <w:r>
        <w:t>56. Fourth and finally, it emerges from the investigation that upstream operators such as Infogreffe, INPI, INSEE, or legal announcement newspapers do not offer services that are perfectly substitutable for those of the parties. However, customers of the new entity sometimes source directly from these actors. Thus, nearly half of the clients who responded to the market test cited upstream market operators among their suppliers, alongside Altares, Ellisphère, LexisNexis, or Bureau Van Dijk. Similarly, the competitors of the parties have mostly emphasized the competitive pressure that raw data suppliers would exert on their activity.</w:t>
      </w:r>
    </w:p>
    <w:p>
      <w:r>
        <w:t>57. It follows that, even if the competitive proximity of upstream and intermediate actors is not sufficient to conclude the existence of a single market, it nonetheless restricts the parties' incentive to reduce the quality of their services. If the added value of intermediaries deteriorates, their clients could indeed redirect their demand directly to upstream suppliers. Likewise, if the parties increase their prices, their clients might find it less costly to internalize the services they provide. This reorganization of final demand in the event of a deterioration of the situation in intermediate markets would be all the easier as recent legislative developments improve the availability of raw data. In this regard, none of the competitors interviewed in the context of the second market test believe that the new entity will be able to raise its prices following the operation.</w:t>
      </w:r>
    </w:p>
    <w:p>
      <w:r>
        <w:t>58. Consequently, due to the weakening of entry barriers since the enactment of legislation regarding access to data, the countervailing power of demand, the existence of credible alternatives in the concerned markets, and the absence of incentives for the parties to raise their prices, the proposed operation does not appear to pose risks of harming competition through horizontal effects in the directory services market, nor in the credit risk segment.</w:t>
      </w:r>
    </w:p>
    <w:p>
      <w:r>
        <w:t>b) On the other segments examined</w:t>
      </w:r>
    </w:p>
    <w:p>
      <w:r>
        <w:t>59. In the commercial development segment, the notifying party estimates the position of the new entity at [20-30]% (Altares: [10-20]% and Ellisphère: [5-10]%), and indicates facing competition from significant specialized players such as Cartégie ([10-20]%) and Kompass ([10-20]%) as well as from competitors identified in the overall market, such as Infolégale ([0-5]%) or Scores et Décisions ([0-5]%).</w:t>
      </w:r>
    </w:p>
    <w:p>
      <w:r>
        <w:t>60. Finally, in the compliance segment, the estimated position of the parties following the operation will be [10-20]% (Altares: [5-10]% and Ellisphère: [5-10]%). They will be subject, in this market, to competition from significant players such as LexisNexis ([50-60]%) or Dow Jones ([10-20]%).</w:t>
      </w:r>
    </w:p>
    <w:p>
      <w:r>
        <w:t>61. Given these positions, as well as the previous developments related to the overall directory services market, the operation is not likely to result in harm to competition through horizontal effects in the commercial development and compliance segments.</w:t>
      </w:r>
    </w:p>
    <w:p>
      <w:r>
        <w:t>2. VERTICAL EFFECTS</w:t>
      </w:r>
    </w:p>
    <w:p>
      <w:r>
        <w:t>62. A vertical concentration can restrict competition by making access to the markets in which the new entity will be active more difficult, or even potentially excluding competitors or penalizing them by increasing their costs. This is referred to as "locking in" or "foreclosure" of markets. Such a situation increases the market power of the new entity and allows it to raise its prices or reduce the quantities offered. Two types of lock-ins are distinguished. In the first case, the integrated company refuses to sell an input to its downstream competitors or supplies this input at a high price, under unfavorable conditions, or at a degraded quality level (this is referred to as "input lock-in"). This foreclosure can be total, when competitors are no longer supplied at all, or partial, when the tightening of pricing conditions leads to an increase in competitors' costs. In the second case, the downstream branch of the integrated company refuses to purchase or distribute the products of upstream manufacturers, thus reducing their commercial outlets ("customer access lock-in"). The decision-making practice of competition authorities generally rules out these lock-in risks when the market share of the company resulting from the operation in the concerned markets does not exceed 30%.</w:t>
      </w:r>
    </w:p>
    <w:p>
      <w:r>
        <w:t>63. In this case, Altares and Ellisphère are present in the business information market, particularly in the credit risk information segment, while BPCE is active, through its subsidiaries Coface and Natixis Factor, in the downstream market of credit insurance, which may notably rely on data and analyses from actors such as the parties.</w:t>
      </w:r>
    </w:p>
    <w:p>
      <w:r>
        <w:t>64. An input lock-in scenario would involve the new entity refusing to sell information to other clients, notably to competing banking and credit institutions, following the operation. However, such a scenario appears unlikely as the BPCE group represents, prior to the operation, [...]% of Altares' turnover, its current supplier. It is therefore not conceivable that the new entity would deprive itself of more than [...]% of its clientele.</w:t>
      </w:r>
    </w:p>
    <w:p>
      <w:r>
        <w:t>65. A customer lock-in scenario would involve the new entity only purchasing information services from its subsidiaries. In this scenario, BPCE would cease sourcing from other information service providers.</w:t>
      </w:r>
    </w:p>
    <w:p>
      <w:r>
        <w:t>66. However, such a scenario appears unlikely as BPCE and Ellisphère were already part of the same group prior to the operation, without this preventing BPCE from being a client of Altares, a competitor of Ellisphère in the market. Thus, prior to the operation, BPCE is already a client of the parties, independently of their legal ties.</w:t>
      </w:r>
    </w:p>
    <w:p>
      <w:r>
        <w:t>67. In this regard, another client of the parties, a banking institution, stated during the market test that "the membership of a supplier to a banking network is not new (...)" and did not raise any particular difficulties. In any case, the demand in the directory services markets consists of varied actors, and the banking sector represents, for example, only [...]% of Altares' turnover.</w:t>
      </w:r>
    </w:p>
    <w:p>
      <w:r>
        <w:t>68. It follows from the above that any risk of harming competition through vertical effects in the business directory services market and its segments can be ruled out.</w:t>
      </w:r>
    </w:p>
    <w:p>
      <w:r>
        <w:t>DECIDES</w:t>
      </w:r>
    </w:p>
    <w:p>
      <w:r>
        <w:t>Single Article: The operation notified under number 16-167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