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https://www.autoritedelaconcurrence.fr/fr/decision-de-controle-des-concentrations/relative-la-prise-de-controle-exclusif-de-mory-sa-par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10-DCC-184 of December 13, 2010  </w:t>
        <w:br/>
        <w:t xml:space="preserve">regarding the exclusive control acquisition of Mory SA by Bavaria France  </w:t>
        <w:br/>
        <w:t xml:space="preserve">Holding SAS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17, 2010, concerning the exclusive control acquisition by Bavaria France Holding SAS of  </w:t>
        <w:br/>
        <w:t xml:space="preserve">Mory SA, formalized by a letter of intent signed on September 24, 2010;  </w:t>
        <w:br/>
        <w:t xml:space="preserve">Having regard to Book IV of the Commercial Code relating to the freedom of prices and competition, and  </w:t>
        <w:br/>
        <w:t xml:space="preserve">notably its Articles L.430-1 to L.430-7;  </w:t>
        <w:br/>
        <w:t xml:space="preserve">Adopts the following decision:  </w:t>
        <w:br/>
        <w:t xml:space="preserve">I. The companies concerned and the operation  </w:t>
        <w:br/>
        <w:t xml:space="preserve">1. Bavaria France Holding SAS, a simplified joint-stock company, is indirectly controlled by  </w:t>
        <w:br/>
        <w:t xml:space="preserve">Bavaria Industriekapital AG, a company under German law at the head of the Bavaria group (hereinafter  </w:t>
        <w:br/>
        <w:t xml:space="preserve">“Bavaria group”). The Bavaria group is controlled by the German company AS Vermögensverwaltungs GmbH,  </w:t>
        <w:br/>
        <w:t xml:space="preserve">which is itself owned by Mr. Reimar Scholz.  </w:t>
        <w:br/>
        <w:t xml:space="preserve">2. The Bavaria group specializes in restructuring operations and restoring the budgetary balance of  </w:t>
        <w:br/>
        <w:t xml:space="preserve">the companies it acquires. It organizes its activities around three poles: i) mass production; ii) the  </w:t>
        <w:br/>
        <w:t xml:space="preserve">construction and design of factories; and iii) business services.  </w:t>
        <w:br/>
        <w:t xml:space="preserve">3. Mory SA, a public limited company, is the parent company of the Mory group (hereinafter “Mory group”),  </w:t>
        <w:br/>
        <w:t xml:space="preserve">which is active in the following sectors: i) national and international land courier services, ii) logistics services,  </w:t>
        <w:br/>
        <w:t xml:space="preserve">iii) national and international freight transport, and iv) dedicated distribution, that is to say, the transport of  </w:t>
        <w:br/>
        <w:t xml:space="preserve">palletized goods and a delivery activity for scooters, motorcycles, and quads.  </w:t>
        <w:br/>
        <w:t xml:space="preserve">4. The operation consists of the acquisition of exclusive control of the Mory group by the Bavaria group,  </w:t>
        <w:br/>
        <w:t xml:space="preserve">under a letter of intent dated September 24, 2010, between Bavaria France Holding SAS on the one hand and  </w:t>
        <w:br/>
        <w:t xml:space="preserve">Mory SA on the other hand. Insofar as it results in the exclusive control of the Mory group by the Bavaria group,  </w:t>
        <w:br/>
        <w:t xml:space="preserve">the notified operation constitutes a concentration operation within the meaning of Article L.430-1 of the  </w:t>
        <w:br/>
        <w:t xml:space="preserve">Commercial Code.  </w:t>
        <w:br/>
        <w:t xml:space="preserve">5. The companies concerned together achieve a total worldwide turnover of more than 150 million euros  </w:t>
        <w:br/>
        <w:t xml:space="preserve">(Bavaria group: 403.6 million euros for the fiscal year ending December 31, 2009; Mory group: 731.2 million  </w:t>
        <w:br/>
        <w:t xml:space="preserve">euros for the same year). Each achieves, in France, a turnover exceeding 50 million euros  </w:t>
        <w:br/>
        <w:t xml:space="preserve">(Bavaria: […] million euros for the fiscal year ending December 31, 2009; Mory group: […] million euros for  </w:t>
        <w:br/>
        <w:t xml:space="preserve">the same year). Given these turnover figures, the operation does not have a community dimension.  </w:t>
        <w:br/>
        <w:t xml:space="preserve">However, the control thresholds mentioned in point I of Article L. 430-2 of the Commercial Code are exceeded.  </w:t>
        <w:br/>
        <w:t xml:space="preserve">This operation is therefore subject to the provisions of Articles L. 430-3 and following of the Commercial Code  </w:t>
        <w:br/>
        <w:t xml:space="preserve">relating to economic concentration.  </w:t>
        <w:br/>
        <w:t xml:space="preserve">II. Competitive analysis  </w:t>
        <w:br/>
        <w:t xml:space="preserve">6. The Bavaria group is active in the production of components and various parts as part of its  </w:t>
        <w:br/>
        <w:t xml:space="preserve">mass production activities, in the construction of machines and production and assembly systems as part of its  </w:t>
        <w:br/>
        <w:t xml:space="preserve">factory construction and design activities, and finally, in the production of electronic components,  </w:t>
        <w:br/>
        <w:t xml:space="preserve">medications, cosmetics, paper and aluminum foil, as well as in telecommunications network services and  </w:t>
        <w:br/>
        <w:t xml:space="preserve">services on behalf of pharmaceutical laboratories.  </w:t>
        <w:br/>
        <w:t xml:space="preserve">7. The Bavaria group therefore does not control any competing company of the Mory group, nor is it active  </w:t>
        <w:br/>
        <w:t xml:space="preserve">in an upstream, downstream, or related market. Consequently, the operation is not likely to harm competition.  </w:t>
        <w:br/>
        <w:t xml:space="preserve">DECIDES  </w:t>
        <w:br/>
        <w:t xml:space="preserve">Sole Article: The operation notified under number 10-0191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