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https://www.autoritedelaconcurrence.fr/fr/decision-de-controle-des-concentrations/relative-la-prise-de-controle-exclusif-de-mutex-par</w:t>
      </w:r>
    </w:p>
    <w:p>
      <w:r>
        <w:t>Pages translated : 5</w:t>
      </w:r>
    </w:p>
    <w:p/>
    <w:p>
      <w:r>
        <w:rPr>
          <w:b/>
        </w:rPr>
        <w:t>[Pages 1–3]</w:t>
      </w:r>
    </w:p>
    <w:p>
      <w:r>
        <w:t xml:space="preserve">FRENCH REPUBLIC  </w:t>
        <w:br/>
        <w:t xml:space="preserve">Decision No. 17-DCC-119 of July 27, 2017  </w:t>
        <w:br/>
        <w:t xml:space="preserve">regarding the exclusive control of Mutex by Harmonie Mutuelle  </w:t>
        <w:br/>
        <w:t xml:space="preserve">The Competition Authority,  </w:t>
        <w:br/>
        <w:t xml:space="preserve">Having regard to the notification file submitted in full to the concentrations service on June 28, 2017, regarding the exclusive control of Mutex SA by Harmonie Mutuelle, approved during the general meetings of the mutuals participating in the operation on December 12, 13, and 14, 2016, formalized by a share transfer deed dated December 14, 2016;  </w:t>
        <w:br/>
        <w:t xml:space="preserve">Having regard to Book IV of the Commercial Code relating to the freedom of prices and competition, and in particular its Articles L. 430-1 to L. 430-7;  </w:t>
        <w:br/>
        <w:t xml:space="preserve">Having regard to the supplementary elements submitted by the notifying party during the investigation;  </w:t>
        <w:br/>
        <w:t xml:space="preserve">Adopts the following decision:  </w:t>
        <w:br/>
        <w:t xml:space="preserve">I. The concerned companies and the operation  </w:t>
        <w:br/>
        <w:t xml:space="preserve">1. Harmonie Mutuelle, a mutual governed by the provisions of Book II of the Mutuality Code, results from the merger by absorption of six mutuals in 2012. It has approximately 4.5 million protected persons. Furthermore, Harmonie Mutuelle is a member of the mutualist group union "Groupe Harmonie" (hereinafter, "UMG Groupe Harmonie") alongside two mutuals (Harmonie Fonction publique and Mutuelle Mare-Gaillard) over which it exercises exclusive control. The Harmonie Mutuelle group operates in the sectors of personal insurance products (supplementary health, provident, life insurance savings, retirement savings, death, and funeral insurance) and reinsurance.  </w:t>
        <w:br/>
        <w:t xml:space="preserve">1 See the decision of the Competition Authority No. 12-DCC-111 of August 3, 2012, regarding the merger by absorption of the mutuals Harmonie Mutualité, Mutuelle Existence, Prévadiès, Santévie, Santévie MP, and Spheria Val-de-France by Harmonie Mutuelle. It should be noted that Harmonie Mutuelle also absorbed, by way of merger, the Mutuelle Concelloise in 2016.  </w:t>
        <w:br/>
        <w:t xml:space="preserve">2 Harmonie Fonction Publique protects more than 200,000 persons.  </w:t>
        <w:br/>
        <w:t xml:space="preserve">3 Mutuelle Mare-Gaillard includes more than 76,000 beneficiaries.  </w:t>
        <w:br/>
        <w:t>4 See the decision of the Competition Authority No. 13-DCC-73 of June 26, 2013, regarding the establishment by the mutuals Harmonie Mutuelle, Mutuelle Nationale de l’Aviation Marine, Mutuelle SMAR, Mutuelle de Mare Gaillard, and France Mutualiste of a Mutualist Group Union "Groupe Harmonie" exclusively controlled by Harmonie Mutuelle.</w:t>
      </w:r>
    </w:p>
    <w:p>
      <w:r>
        <w:t xml:space="preserve">2. Mutex SA (hereinafter, "Mutex") is a public limited company governed by the insurance code. Currently, it is owned 34% by Harmonie Mutuelle, 29.2% by Mutex Union, 11% by Adréa, 11% by Eovi Mutuelle, 5.8% by Apreva, 4.6% by Ociane, 4% by Matmut Mutualité, and 0.4% by Chorum. None of these shareholders exercises exclusive or joint control over Mutex. The latter operates in the sectors of personal insurance products (supplementary health, provident, life insurance savings, retirement savings, death, and funeral insurance) and reinsurance.  </w:t>
        <w:br/>
        <w:t xml:space="preserve">3. Pursuant to a share transfer deed dated December 14, 2016, Harmonie Mutuelle is to acquire 17% of the capital and voting rights of Mutex, thereby increasing its participation to 51%. As it results in the exclusive control of Mutex by Harmonie Mutuelle, the notified operation constitutes a concentration within the meaning of Article L. 430-1 of the Commercial Code.  </w:t>
        <w:br/>
        <w:t xml:space="preserve">4. The concerned companies together achieved a consolidated turnover excluding taxes on a global scale of more than 150 million euros (Harmonie Mutuelle Group: 3.5 billion euros for the fiscal year ending December 31, 2016; Mutex: 863.8 million euros for the same fiscal year). Each of these companies achieved, in France, a turnover exceeding 50 million euros (Harmonie Mutuelle Group: 3.6 billion euros for the same fiscal year; Mutex: 863.8 million euros for the same fiscal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Delimitation of the relevant markets  </w:t>
        <w:br/>
        <w:t xml:space="preserve">5. The parties are simultaneously active in the upstream markets for insurance products and in the reinsurance markets. The markets for the distribution of insurance products on behalf of third parties are also presented in the analysis of vertical effects.  </w:t>
        <w:br/>
        <w:t xml:space="preserve">A. THE UPSTREAM MARKETS FOR INSURANCE PRODUCTS  </w:t>
        <w:br/>
        <w:t xml:space="preserve">6. Decision-making practice consistently distinguishes between the markets for personal insurance, property and liability insurance, and reinsurance.  </w:t>
        <w:br/>
        <w:t xml:space="preserve">7. Regarding the first two categories of products, competition authorities have estimated that they can be segmented into as many markets as there are insurances covering different types of risks, insofar as, from the demand perspective, the insurances covering these different risks are not substitutable.  </w:t>
        <w:br/>
        <w:t>5 See in particular the decisions of the European Commission COMP/M.5083 - Groupama / OTP Garancia of April 15, 2008, COMP/M.3556 - Fortis / BCP of January 19, 2005, as well as the decisions of the Competition Authority No. 13-DCC-84 of July 4, 2013, regarding the affiliation of the interprofessional mutual SMI to the mutual insurance group Covéa, No. 11-DCC-97 of June 29, 2011, regarding the affiliation of the provident institution Apgis to the mutual insurance group Covéa, and No. 10-DCC-52 of June 2, 2010, regarding the creation of a Mutual Insurance Group Company ("SGAM") by MACIF, MAIF, and MATMUT.</w:t>
      </w:r>
    </w:p>
    <w:p>
      <w:r>
        <w:t xml:space="preserve">8. In the present case, the Harmonie Mutuelle group and Mutex are both active in the personal insurance sector, and more specifically, in the markets for supplementary health insurance, provident insurance, life insurance, retirement savings, death, and funeral insurance.  </w:t>
        <w:br/>
        <w:t xml:space="preserve">9. Regarding the personal insurance market, a further segmentation can be made between group insurance contracts, concluded between an insurer and a subscriber distinct from the beneficiary, and individual insurance contracts for which the subscriber is also the beneficiary.  </w:t>
        <w:br/>
        <w:t xml:space="preserve">10. Concerning the geographical delimitation of the markets, with the exception of certain insurances covering large-scale risks, insurance product markets have been considered to be of national dimension, taking into account consumer preferences, the existence of national legislation and tax constraints, the current structure of these markets, or the regulatory systems concerning this sector of activity.  </w:t>
        <w:br/>
        <w:t xml:space="preserve">11. The question of the exact definition of insurance product markets can be left open insofar as, regardless of the delimitation retained, the conclusions of the competitive analysis remain unchanged.  </w:t>
        <w:br/>
        <w:t xml:space="preserve">B. THE REINSURANCE MARKETS  </w:t>
        <w:br/>
        <w:t xml:space="preserve">12. Decision-making practice defines reinsurance as a particular form of insurance whereby the reinsurer takes on all or part of the risks insured by the primary insurer. This mechanism allows primary insurers to increase the number of insured and to spread risks over time and across a broader geographical area. The European Commission also considers that reinsurance constitutes a distinct market, due to the specificity of the object (the distribution of risks among insurers) and the less stringent regulatory constraints on this activity. Finally, property reinsurance has been distinguished from personal reinsurance, and for each of these categories, potential further segmentations may be considered based on the different categories of risks covered.  </w:t>
        <w:br/>
        <w:t xml:space="preserve">13. It emerges from decision-making practice that the reinsurance market is of global dimension, particularly given the distribution of risks at this level.  </w:t>
        <w:br/>
        <w:t xml:space="preserve">14. The question of the exact definition of reinsurance markets can be left open, insofar as, regardless of the delimitation retained, the conclusions of the competitive analysis remain unchanged.  </w:t>
        <w:br/>
        <w:t xml:space="preserve">C. THE MARKETS FOR THE DISTRIBUTION OF INSURANCE PRODUCTS ON BEHALF OF THIRD PARTIES  </w:t>
        <w:br/>
        <w:t xml:space="preserve">15. The distribution of insurance products on behalf of third parties consists of marketing and ensuring the administrative management of the guarantees or insurance contracts whose risk is borne by third-party insurers.  </w:t>
        <w:br/>
        <w:t xml:space="preserve">6 See in particular the decision of the European Commission COMP/M.5083 mentioned above, and the decision of the Competition Authority No. 09-DCC-61 of November 4, 2009, regarding the exclusive control of the mutual Altéis and the mutual Releya by the mutual Prévadiès.  </w:t>
        <w:br/>
        <w:t>7 See in particular the decision No. 11-DCC-117 mentioned above.</w:t>
      </w:r>
    </w:p>
    <w:p>
      <w:r>
        <w:rPr>
          <w:b/>
        </w:rPr>
        <w:t>[Pages 4–5]</w:t>
      </w:r>
    </w:p>
    <w:p>
      <w:r>
        <w:t>by third-party insurers8. Competition authorities, both European and national, have left open the question of the precise delineation of markets in this sector, with several segmentations being considered9.</w:t>
      </w:r>
    </w:p>
    <w:p>
      <w:r>
        <w:t>16. A broad market for the distribution of insurance products by independent intermediaries, including all distribution channels (agents, brokers, and other intermediaries such as banks), with the exception of direct distribution by insurance companies, has thus been identified by decision-making practice10. A market limited to insurance brokerage and comprising only this distribution channel has also been considered.</w:t>
      </w:r>
    </w:p>
    <w:p>
      <w:r>
        <w:t>17. The markets for the distribution of insurance products can also be segmented according to the category of insured risks (property insurance and personal insurance) and according to the clientele (businesses or individuals).</w:t>
      </w:r>
    </w:p>
    <w:p>
      <w:r>
        <w:t>18. Regarding their geographical delimitations, the markets for the distribution of insurance products on behalf of third parties have been considered essentially to be of a national dimension.</w:t>
      </w:r>
    </w:p>
    <w:p>
      <w:r>
        <w:t>19. The question of the exact definition of the markets for the distribution of insurance products on behalf of third parties may be left open insofar as, regardless of the delineation retained, the conclusions of the competitive analysis remain unchanged.</w:t>
      </w:r>
    </w:p>
    <w:p>
      <w:r>
        <w:t>III. Competitive Analysis</w:t>
        <w:br/>
        <w:t>1. ON THE UPSTREAM MARKETS OF INSURANCE PRODUCTS</w:t>
        <w:br/>
        <w:t>20. In the national personal insurance markets, the notifying party estimates that the market share of the new entity will be less than 10%, regardless of the segmentation retained. The new entity will continue to face competitive pressure from several players, particularly the Axa France, Crédit Agricole, Malakoff-Médéric, Groupama Gan, and AG2R-La Mondiale groups.</w:t>
      </w:r>
    </w:p>
    <w:p>
      <w:r>
        <w:t>21. Consequently, the operation is not likely to harm competition through horizontal effects in the upstream markets of insurance products.</w:t>
      </w:r>
    </w:p>
    <w:p>
      <w:r>
        <w:t>2. ON THE REINSURANCE MARKETS</w:t>
        <w:br/>
        <w:t>22. In the global reinsurance markets, the notifying party estimates that the market share of the new entity will be less than 1%, regardless of the segmentation retained.</w:t>
      </w:r>
    </w:p>
    <w:p>
      <w:r>
        <w:t>23. Consequently, the operation is not likely to harm competition through horizontal effects in the reinsurance markets.</w:t>
      </w:r>
    </w:p>
    <w:p>
      <w:r>
        <w:t>8 See in particular the letter from the Minister of Economy C2008-77 dated October 28, 2008, to the boards of the company Mutuelle Harmonie Mutualité and the decision of the Competition Authority No. 10-DCC-138 dated October 19, 2010, regarding the exclusive control of MFPrévoyance by CNP assurances.</w:t>
      </w:r>
    </w:p>
    <w:p>
      <w:r>
        <w:t>9 See in particular the aforementioned letter C2008-77 and the aforementioned decision No. 10-DCC-138.</w:t>
      </w:r>
    </w:p>
    <w:p>
      <w:r>
        <w:t>10 See in particular the decision of the Competition Authority No. 11-DCC-117 dated July 26, 2011, regarding the merger by absorption of Eovi Mutuelle creusoise, Eovi Mutuelle du Limousin, Eovi la Mif, Eovi Roanne Mutuelle, Eovi Mutuelles Présence, Eovi Mutuelle Drôme Arpica by Eovi Novalia Mutuelle and the portfolio contribution of Eovi Languedoc Mutualité, union of mutuals, to Eovi Novalia Mutuelle.</w:t>
      </w:r>
    </w:p>
    <w:p>
      <w:r>
        <w:t>3. ON THE MARKETS FOR THE DISTRIBUTION OF INSURANCE PRODUCTS ON BEHALF OF THIRD PARTIES</w:t>
        <w:br/>
        <w:t>24. In this case, only the Harmonie Mutuelle group is active in the downstream markets for the distribution on behalf of third parties of insurance products.</w:t>
      </w:r>
    </w:p>
    <w:p>
      <w:r>
        <w:t>25. A vertical concentration can restrict competition by making access to the markets in which the new entity will be active more difficult, or even by excluding competitors or penalizing them through an increase in their costs. This is referred to as "locking in" or "foreclosure" of the markets. Such a situation increases the market power of the new entity and allows it to raise its prices or reduce the quantities offered. However, it is unlikely that a company with a market share of less than 30% in a given market can lock in a downstream or upstream market.</w:t>
      </w:r>
    </w:p>
    <w:p>
      <w:r>
        <w:t>26. In this case, the notifying party estimates that the market share of the Harmonie Mutuelle group is less than 2% at the national level in the markets for the distribution of insurance products on behalf of third parties, regardless of the segmentation retained.</w:t>
      </w:r>
    </w:p>
    <w:p>
      <w:r>
        <w:t>27. Consequently, the operation is not likely to harm competition through vertical effects in the relevant markets.</w:t>
      </w:r>
    </w:p>
    <w:p>
      <w:r>
        <w:t>DECIDES</w:t>
        <w:br/>
        <w:t>Sole Article: The operation notified under number 17-011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