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https://www.autoritedelaconcurrence.fr/fr/decision-de-controle-des-concentrations/relative-la-prise-de-controle-exclusif-de-neuf-fonds-de</w:t>
      </w:r>
    </w:p>
    <w:p>
      <w:r>
        <w:t>Pages translated : 6</w:t>
      </w:r>
    </w:p>
    <w:p/>
    <w:p>
      <w:r>
        <w:rPr>
          <w:b/>
        </w:rPr>
        <w:t>[Pages 1–3]</w:t>
      </w:r>
    </w:p>
    <w:p>
      <w:r>
        <w:t xml:space="preserve">FRENCH REPUBLIC  </w:t>
        <w:br/>
        <w:t xml:space="preserve">Decision No. 14-DCC-198 of December 31, 2014  </w:t>
        <w:br/>
        <w:t xml:space="preserve">regarding the exclusive control of nine retail businesses  </w:t>
        <w:br/>
        <w:t>of DIY items by Bricorama France SAS</w:t>
      </w:r>
    </w:p>
    <w:p>
      <w:r>
        <w:t xml:space="preserve">The Competition Authority,  </w:t>
        <w:br/>
        <w:t xml:space="preserve">Having regard to the notification file submitted in full to the concentrations service on December 12, 2014, regarding the exclusive control of nine retail businesses of DIY items by Bricorama France SAS, formalized by two transfer agreement protocols dated June 18,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Bricorama SAS is 99.77% owned by Bricorama SA, the parent company of the Bricorama group (hereinafter "Bricorama"), whose capital is almost entirely held by members of the Bourrelier family. Bricorama specializes in the distribution of DIY, gardening, and construction materials through a network of medium-sized DIY stores. As of the end of 2013, Bricorama operates 173 integrated stores in Europe (distributed between France, Spain, Belgium, and the Netherlands) and 50 franchises (48 in France and 2 abroad). In France, the Bricorama network consists of 92 points of sale operating under the Bricorama and Baktor brands.  </w:t>
        <w:br/>
        <w:t xml:space="preserve">2. The target assets are seven simplified joint-stock companies, namely Afer1, Sodica, Frimont Bricolage2, Rouergue Bricolage, Cahors Bricolage, Talos, Rochefort Brico Loisirs,  </w:t>
        <w:br/>
        <w:t>1 The company Afer holds 99.9% of the capital of the company Frimont, 97.4% of the capital of the company Rouergue Bricolage, and 45.6% of the company Sodica, which are transferred to Bricorama upon the transfer of shares by the company Afer. It also holds 50% of the capital of the SCI du Rond Point 12 and 1% of the capital of the SCI Girondaise and the SCI Beauséjour. Under the transfer agreement protocol concerning the SCIs, the shares of the company Afer in these SCIs are transferred to Bricorama on the day of the transfer.</w:t>
      </w:r>
    </w:p>
    <w:p>
      <w:r>
        <w:t xml:space="preserve">Brico Rochefort and Paros, operating nine retail businesses distributing DIY items under the Mr. Bricolage brand, located in Sebazac-Concourès, Villefranche de Rouergue and Decazeville (Aveyron), Marmande (Lot-et-Garonne), at the place known as Frimont in La Réole (Gironde), Capdenac-le-haut and Cahors (Lot), Rochefort (Charente-Maritime) and Saint-Géréon (Loire-Atlantique). The target assets also include the simplified joint-stock company Brico Rochefort and the SCI Paros, which respectively own two buildings located in Rochefort and Saint-Géréon. The target assets are currently exclusively controlled by the company Gnuva SA, itself owned by members of the Gnuva family and an individual.  </w:t>
        <w:br/>
        <w:t xml:space="preserve">3. The notified operation, formalized by two transfer agreement protocols signed by the parties on June 18, 2014, consists of Bricorama acquiring the target assets. These two protocols stipulate that the transfers of shares of all the companies constituting the target assets "form an indivisible and inseparable whole (...), consequently, the non-sale or non-acquisition of any of said companies will result in the termination of all provisions of these transfer agreements." Consequently, these operations are interdependent and constitute a single concentration insofar as they are legally linked by mutual conditionality (neither will occur without the other), and where they are concurrent and economically linked3.  </w:t>
        <w:br/>
        <w:t xml:space="preserve">4. Insofar as it results in the exclusive control of the target assets by Bricorama, the operation constitutes a concentration within the meaning of Article L. 430-1 of the Commercial Code.  </w:t>
        <w:br/>
        <w:t>5. The concerned companies operate retail stores and together achieve a total worldwide turnover excluding tax of more than 75 million euros (Bricorama: 692.1 million euros for the fiscal year ending December 31, 2013; target assets: […] euros for the same fiscal year). Two of them operate one or more retail stores and achieve, in France, a turnover exceeding 15 million euros (Bricorama: 448.8 million euros for the fiscal year ending December 31, 2013; target assets: […] euros for the same fiscal year). Given the turnover of the concerned companies,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The parties conduct their activities in the retail sector of DIY items aimed at individuals. Decision-making practice4, both European and national, generally distinguishes two main markets in this sector:  </w:t>
        <w:br/>
        <w:t xml:space="preserve">2 The company Frimont Bricolage holds 99% of the capital of the SCI Girondaise and the SCI Beauséjour. Under the transfer agreement protocol concerning the SCIs, the shares of the company Frimont Bricolage in these SCIs are transferred to Bricorama on the day of the transfer.  </w:t>
        <w:br/>
        <w:t xml:space="preserve">3 See point 64 of the guidelines of July 10, 2013, relating to the control of concentrations.  </w:t>
        <w:br/>
        <w:t>4 European Commission Decision of December 13, 2002 COMP/M.2898, Leroy Merlin/Brico; Letters from the Minister of Economy of August 29, 2002, Mr Bricolage/Tabur and April 7, 2004, Leroy Merlin/Domaxel; Decision of the Competition Authority No. 10-DCC-01 of January 12, 2010, regarding the exclusive control by Mr Bricolage of the company Passerelle.</w:t>
      </w:r>
    </w:p>
    <w:p>
      <w:r>
        <w:t xml:space="preserve">- the downstream market of distribution on which companies in the retail sector of DIY, decoration, and gardening items interact, as suppliers, with final consumers;  </w:t>
        <w:br/>
        <w:t>- the upstream supply markets on which companies, as clients, interact with manufacturers of DIY, decoration, and gardening items.</w:t>
      </w:r>
    </w:p>
    <w:p>
      <w:r>
        <w:t xml:space="preserve">A. THE DOWNSTREAM MARKET OF DIY ITEM DISTRIBUTION  </w:t>
        <w:br/>
        <w:t xml:space="preserve">1. SERVICE MARKETS  </w:t>
        <w:br/>
        <w:t xml:space="preserve">7. The decisional practice5 has recognized the existence of a relevant market for the retail distribution of DIY and home improvement items6 marketed by large specialized DIY stores ("GSB") whose size exceeds 300 m2, which generally market a number of references exceeding 10,000 units and cater to a clientele almost exclusively composed of individuals7.  </w:t>
        <w:br/>
        <w:t xml:space="preserve">8. Regarding the inclusion of building materials dealers in the relevant market, competition authorities have found that the boundary between the building materials trade market and the retail distribution of DIY items is not watertight, the degree of substitution between these two distinct channels depending heavily on the strategy of the various dealer networks. Firstly, practice has noted that some individuals, belonging to the so-called "heavy DIYers" category, capable of carrying out substantial construction work and having expectations close to those of professionals, also source from building materials dealers. Secondly, many dealers seek to reach a clientele of individuals by adapting to their expectations, with openings on Saturdays or locations in commercial areas of hypermarkets. Finally, some dealers operate "self-service" DIY stores specifically aimed at individuals.  </w:t>
        <w:br/>
        <w:t xml:space="preserve">9. However, the notifying party considers it unfounded to include dealers in the relevant market, particularly as the product ranges they offer differ from those of the GSB and their clientele remains predominantly professional. Thus, in this case, the notifying party conducted its analysis by only considering the GSB brands within the downstream market of DIY item distribution.  </w:t>
        <w:br/>
        <w:t xml:space="preserve">10. In any case, the exact delimitation of the service market can be left open, as the conclusions of the competitive analysis will remain unchanged, regardless of the assumptions made.  </w:t>
        <w:br/>
        <w:t xml:space="preserve">5 Letters from the Minister of Economy of August 29, 2002, and April 7, 2004, cited above; decision of the Competition Authority No. 10-DCC-01 cited above.  </w:t>
        <w:br/>
        <w:t xml:space="preserve">6 Articles that are characterized by meeting consumer needs for the arrangement, maintenance, and renovation of housing and gardens.  </w:t>
        <w:br/>
        <w:t>7 Therefore, excluded from the market are convenience stores, GSA, as well as large specialized gardening stores, the latter selling very few (an average of 1500 references) or no DIY items at all.</w:t>
      </w:r>
    </w:p>
    <w:p>
      <w:r>
        <w:rPr>
          <w:b/>
        </w:rPr>
        <w:t>[Pages 4–6]</w:t>
      </w:r>
    </w:p>
    <w:p>
      <w:r>
        <w:t>2. GEOGRAPHICAL DELIMITATION</w:t>
        <w:br/>
        <w:t>11. As noted by decision-making practice8, the geographical markets related to the retail sectors are essentially local in dimension, their delimitation potentially depending on numerous factors, particularly the size of the stores and the nature of the products sold.</w:t>
        <w:br/>
        <w:t>12. The European Commission specified that in the case of stores specializing in DIY, decoration, and gardening items, the extent of the catchment areas is highly variable depending on the size of the store, its location, the product range, and the consumption habits of the households concerned9. Consequently, it has identified the existence of catchment areas of around 20 km10, while specifying that their extent could vary in the case where catchment areas overlap, to the extent that these overlaps ensure a continuity of the conditions under which competition operates in these areas.</w:t>
        <w:br/>
        <w:t>13. The practice of national competition authorities11 has not called into question these orders of magnitude, with both the minister and the Competition Authority having analyzed the effects of concentration operations concerning specialized DIY stores on catchment areas corresponding to travel times undertaken by consumers from the target store, in order to reflect the alternatives for consumers and the points of sale likely to exert competitive pressure on the parties. Thus, decision-making practice has identified an attractiveness zone of around 15 to 20 minutes by car for medium-sized GSB (2,000 to 3,000 m2) and a zone that can extend up to 30 minutes by car for larger points of sale, or those that are relatively larger compared to immediate competitors, or located near a particularly attractive hypermarket. Previous decision-making practice has also noted that certain stores with a surface area exceeding 5,000 m2 could attract customers from a catchment area of 40 minutes by car12. Finally, decision-making practice takes into account the specific characteristics of each area, particularly the degree of competitive pressure that stores in the area are likely to exert on each other given their size and the distance, in travel time, that separates them, the presence of urban areas likely to structure consumer movement flows, and transportation costs.</w:t>
        <w:br/>
        <w:t>14. In any case, the exact delimitation of geographical markets can be left open for the examination of the present operation, as the conclusions of the competitive analysis will remain unchanged, regardless of the delimitations retained.</w:t>
      </w:r>
    </w:p>
    <w:p>
      <w:r>
        <w:t>B. THE UPSTREAM MARKET OF SUPPLY</w:t>
        <w:br/>
        <w:t>1. PRODUCT MARKETS</w:t>
        <w:br/>
        <w:t>15. The upstream market of supply includes the sale of DIY, gardening, and building materials by producers to intermediate professional clients such as wholesalers and purchasing or referencing centers. Given that, generally speaking, producers manufacture specific products or groups of products and are not technically able to easily convert to the manufacture of other products without significant costs, a distribution by product groups has been considered by decision-making practice, both national and European13, which has segmented the following product groups: decoration, wall coverings, flooring, tiling, tools, hardware and storage, electricity and lighting, sanitary equipment, building materials, carpentry, and gardening.</w:t>
        <w:br/>
        <w:t>16. The European Commission and the Competition Authority have also considered, while leaving the question open, that supply markets could also be defined based on distribution channels, such that the supply of the specialized retail sector could constitute an autonomous market, distinct from the supply of traders14. In this case, the competitive analysis was conducted on the upstream supply market of GSB brands.</w:t>
        <w:br/>
        <w:t>17. However, the question of the exact definition of supply markets can be left open, with the conclusions of the competitive analysis remaining unchanged regardless of the delimitations retained.</w:t>
      </w:r>
    </w:p>
    <w:p>
      <w:r>
        <w:t>2. GEOGRAPHICAL DELIMITATION</w:t>
        <w:br/>
        <w:t>18. Due to the characteristics of distribution, previous decision-making practice has recognized at least a national dimension of supply markets. However, it should be noted that in some cases, negotiations are conducted at the local or international level.</w:t>
        <w:br/>
        <w:t>19. In this case, the question of the exact geographical delimitation of supply markets can remain open, with the conclusions of the competitive analysis remaining unchanged, regardless of the delimitation retained.</w:t>
      </w:r>
    </w:p>
    <w:p>
      <w:r>
        <w:t>III. Competitive Analysis</w:t>
        <w:br/>
        <w:t>20. The operation will not lead to any overlap of activities between the parties in the downstream markets of DIY and home improvement item distribution, as the travel times by car required to connect the target stores to the nearest Bricorama stores are located at distances greater than the travel times retained by decision-making practice.</w:t>
        <w:br/>
        <w:t>21. The operation is also not likely to significantly alter the competitive structure of the upstream supply market. Following the operation, the new entity will hold, according to the notifying party's estimate, a market share of less than 5% nationally, across all product groups. By segmenting by product groups, the market share of the new entity will be between 2% and 5%. Furthermore, the notifying party indicates that the increment resulting from the operation is less than 1% regardless of the product group considered.</w:t>
        <w:br/>
        <w:t>22. Consequently, the operation is not likely to harm competition in the relevant markets.</w:t>
      </w:r>
    </w:p>
    <w:p>
      <w:r>
        <w:t>DECIDES</w:t>
        <w:br/>
        <w:t>Sole Article: The operation notified under number 14-227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