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https://www.autoritedelaconcurrence.fr/fr/decision-de-controle-des-concentrations/relative-la-prise-de-controle-exclusif-de-neuf-points-de</w:t>
      </w:r>
    </w:p>
    <w:p>
      <w:r>
        <w:t>Pages translated : 2</w:t>
      </w:r>
    </w:p>
    <w:p/>
    <w:p>
      <w:r>
        <w:rPr>
          <w:b/>
        </w:rPr>
        <w:t>[Pages 1–2]</w:t>
      </w:r>
    </w:p>
    <w:p>
      <w:r>
        <w:t>FRENCH REPUBLIC</w:t>
        <w:br/>
        <w:t>Decision No. 25-DCC-269 of November 13, 2025</w:t>
        <w:br/>
        <w:t>regarding the exclusive control of nine retail outlets under the Intersport group brands by the company Chrifsport</w:t>
        <w:br/>
        <w:t>The Competition Authority,</w:t>
        <w:br/>
        <w:t>Having regard to the complete notification file sent to the mergers department on October 14, 2025, concerning the exclusive control of eight operating companies of nine retail outlets under the Intersport group brands, by the company Chrifsport, formalized by a letter of intent dated July 24, 2025;</w:t>
        <w:br/>
        <w:t>Having regard to Book IV of the Commercial Code relating to the freedom of prices and competition, and in particular its Articles L. 430-1 to L. 430-7;</w:t>
        <w:br/>
        <w:t>Adopts the following decision:</w:t>
        <w:br/>
        <w:t>1. The notified operation consists of the exclusive control by the company Chrifsport of eight companies operating nine retail outlets under the Intersport group brands (Intersport, Intersport Outlet, and Blackstore) in the departments of Vienne (86) and Charente (16). This operation constitutes a concentration within the meaning of Article L. 430-1 of the Commercial Code. Given the turnover achieved by the companies concerned, the operation does not fall under the jurisdiction of the European Union. However, the control thresholds mentioned in II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notified operation under number 25-271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