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https://www.autoritedelaconcurrence.fr/fr/decision-de-controle-des-concentrations/relative-la-prise-de-controle-exclusif-de-newen-studios-par</w:t>
      </w:r>
    </w:p>
    <w:p>
      <w:r>
        <w:t>Pages translated : 8</w:t>
      </w:r>
    </w:p>
    <w:p/>
    <w:p>
      <w:r>
        <w:rPr>
          <w:b/>
        </w:rPr>
        <w:t>[Pages 1–3]</w:t>
      </w:r>
    </w:p>
    <w:p>
      <w:r>
        <w:t xml:space="preserve">FRENCH REPUBLIC  </w:t>
        <w:br/>
        <w:t xml:space="preserve">Decision No. 18-DCC-106 of June 29, 2018  </w:t>
        <w:br/>
        <w:t>regarding the exclusive control of Newen Studios by TF1</w:t>
      </w:r>
    </w:p>
    <w:p>
      <w:r>
        <w:t xml:space="preserve">The Competition Authority,  </w:t>
        <w:br/>
        <w:t xml:space="preserve">Having regard to the notification file submitted in full to the concentrations service on May 25, 2018, regarding the exclusive control of Newen Studios by TF1, formalized by a share transfer and acquisition contract, signed on April 5, 2018;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public limited company TF1 heads the TF1 group (hereinafter "TF1"), primarily active in the free and pay television sector. Since 1987, the date of its privatization and the entry of the Bouygues group into its capital, TF1 has been an integrated communication group, and its activities cover the entire audiovisual value chain: production and acquisition of audiovisual rights, publishing and marketing of television channels, marketing of advertising spaces. The group publishes the free channels TF1 (historical terrestrial channel), TMC, TFX (formerly NT1), TF1 Séries Films (formerly HD1), and LCI, as well as the pay channels TV Breizh, Histoire, Ushuaïa TV, and Série Club. The group also publishes websites and paper magazines. It manages the advertising for all the channels it publishes (except for Série Club) as well as other media outlets (Internet, radio, press). It is also a seller of audiovisual rights, publisher and distributor of DVDs and Blu-rays, and provider of non-linear services. TF1 is also present in the tele-shopping sector with its subsidiary Téléshopping.  </w:t>
        <w:br/>
        <w:t xml:space="preserve">2. TF1 is exclusively controlled by the Bouygues group, which holds 43.8% of its capital. In addition to media, the Bouygues group is notably present in the telecommunications, construction, and real estate sectors.  </w:t>
        <w:br/>
        <w:t xml:space="preserve">3. Newen Studios is a holding company specialized in media. It holds the companies Newen, a production and distribution hub for audiovisual content, and Neweb, a digital hub specialized in the publishing of Internet sites. Newen brings together several production companies (including Telfrance, CAPA, and 17 Juin) for television programs as well as Newen Distribution, which handles the distribution of the program catalog of these companies and third-party producers. Neweb brings together several companies publishing and operating Internet sites as well as an advertising agency. Prior to the operation, Newen Studios is controlled by TF1 and FIFL1.  </w:t>
        <w:br/>
        <w:t xml:space="preserve">4. The present operation, formalized by a share transfer and acquisition contract, signed on April 5, 2018, thus increases TF1's participation in the capital of Newen Studios from 70% to 100%.  </w:t>
        <w:br/>
        <w:t xml:space="preserve">5. As it results in the transition from joint control to exclusive control of the company Newen Studios by TF1, the notified operation constitutes a concentration within the meaning of Article L. 430-1 of the Commercial Code.  </w:t>
        <w:br/>
        <w:t>6. The concerned companies together achieve a total worldwide turnover of more than 150 million euros (TF1: [&gt;150 million] euros for the fiscal year ending December 31, 2017; Newen Studios: [&gt;150 million] euros for the same fiscal year). At least two of the concerned companies achieve a turnover in France exceeding 50 million euros (TF1: [&gt;150 million] euros for the fiscal year ending December 31, 2017; Newen Studios: [&gt;150 million] euros for the same fiscal year). Given these turnover figures,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7. In this case, the parties are simultaneously present, as sellers, in the market for the broadcasting rights of audiovisual programs. In this market, TF1 also operates as a buyer2.  </w:t>
        <w:br/>
        <w:t xml:space="preserve">1 See the decision of the Competition Authority No. 16-DCC-10 of January 21, 2016, regarding the joint control by TF1 and FIFL of FLCP.  </w:t>
        <w:br/>
        <w:t>2 The parties are also marginally present in the markets for marketing and commercial communication services, the operation of websites, the sale of online advertising spaces, and online advertising management. TF1 is also present in the online intermediation market. However, given the low market share of the new entity (less than 15%) across all these markets, any risk of harm to competition through horizontal and vertical effects can be ruled out in these markets, which will not be subject to detailed analysis in this decision. Furthermore, TF1, being already active in the market for the sale of television advertising spaces as well as in the market for the sale of online advertising spaces prior to the operation, will not alter the competitive landscape by allowing TF1 to enter a new market, thus any conglomerate effect can be ruled out.</w:t>
      </w:r>
    </w:p>
    <w:p>
      <w:r>
        <w:t xml:space="preserve">A. PRODUCT MARKET  </w:t>
        <w:br/>
        <w:t xml:space="preserve">8. Audiovisual content intended for television broadcasting covers various products, such as films, TV movies, documentaries, game shows, entertainment shows, talk shows, sports events, etc. In the audiovisual rights markets, decision-making practice thus performs an initial segmentation according to the type of audiovisual content (rights pertaining to cinematographic works and television series, sports rights, and rights related to other audiovisual programs).  </w:t>
        <w:br/>
        <w:t xml:space="preserve">9. Decision-making practice, in particular, considers that so-called "stock" programs and so-called "flow" programs constitute two distinct markets (a). Decision-making practice also segments these markets according to whether the programs are new or catalog (b), and according to the mode of content distribution (linear or non-linear) (c).  </w:t>
        <w:br/>
        <w:t xml:space="preserve">a) Segmentation between stock programs and flow programs  </w:t>
        <w:br/>
        <w:t xml:space="preserve">Stock programs  </w:t>
        <w:br/>
        <w:t xml:space="preserve">10. The market for stock programs includes a set of rights pertaining to products such as fictions (series excluding American series, TV movies, mini-series), documentaries, or animations, excluding however cinema films and recent American series, which have been considered as part of distinct relevant markets.  </w:t>
        <w:br/>
        <w:t xml:space="preserve">11. It should also be noted that European works and works in original French expression ("EOF") are subject to specific regulations providing for production contribution obligations and broadcasting quotas4.  </w:t>
        <w:br/>
        <w:t xml:space="preserve">12. Under this regulation, publishers of free-to-air television services via terrestrial analog broadcasting must either invest at least 15% of their net annual turnover from the previous fiscal year in expenditures contributing to the development of European or EOF audiovisual works, of which at least 10.5% in heritage works (first option), or invest at least 12.5% of this same turnover in the financing of heritage works (second option). A "heritage work" is a program belonging to one of the following genres: fiction, animation, creative documentary, including those inserted within a program other than a news broadcast or an entertainment program, video-music, and recording or recreation of live performances. Thus, magazines and talk shows are now excluded from the definition. Furthermore, channels have an obligation to invest in independent production. The contribution rate has been set at 9% for channels that have chosen the first option, and at 9.25% for channels that have chosen the second.  </w:t>
        <w:br/>
        <w:t xml:space="preserve">13. Regarding broadcasting quotas, channel publishers (regardless of the mode of broadcasting) must broadcast at least 60% of European audiovisual works and 40%  </w:t>
        <w:br/>
        <w:t xml:space="preserve">3 See in this sense the letters from the Minister of Economy regarding the Canal +/UGC DA operations of December 5, 1996, and France Télévisions/TF1/CFII of May 25, 2005, and the decisions of the Competition Authority No. 17-DCC-29 of March 3, 2017, regarding the exclusive control by Endemol Shine OpCo Holding B.V. of Shine France, No. 16-DCC-10 mentioned above, and No. 10-DCC-11 of January 26, 2010, regarding the exclusive control by the TF1 group of NT1 and Monte-Carlo Participations (AB group).  </w:t>
        <w:br/>
        <w:t>4 See Decree No. 2010-747 of July 2, 2010, regarding the contribution to the production of cinematographic and audiovisual works by television services broadcast via terrestrial means, amended by Decree No. 2015-483 of April 27, 2015, modifying the contribution regime to the production of audiovisual works by television services, resulting from Article 29 of Law No. 2013-1028 of November 15, 2013, regarding the independence of public audiovisual.</w:t>
      </w:r>
    </w:p>
    <w:p>
      <w:r>
        <w:rPr>
          <w:b/>
        </w:rPr>
        <w:t>[Pages 4–6]</w:t>
      </w:r>
    </w:p>
    <w:p>
      <w:r>
        <w:t>of EOF works, across all programming hours, but also during peak viewing hours. When the publisher's revenue exceeds 350 million euros, 120 hours of European or EOF audiovisual works must be broadcast between 8 p.m. and 9 p.m. The decree of July 2, 2010, mentioned above, allows publishers to account for, up to 25% of this annual volume, works that are rebroadcast.</w:t>
      </w:r>
    </w:p>
    <w:p>
      <w:r>
        <w:t>14. In its decision No. 10-DCC-11 regarding the acquisition of the TMC and NT1 channels by TF1, the Authority noted that a large part of the publishers predominantly fulfill their obligations to produce and/or broadcast EOF heritage audiovisual works through expenditures on fiction works. It thus considered the existence, within the stock programs, of a specific market for EOF fictions. In this case, this question can be left open, as the conclusions of the competitive analysis remain unchanged regardless of the segmentation adopted.</w:t>
      </w:r>
    </w:p>
    <w:p>
      <w:r>
        <w:t>The flow programs</w:t>
      </w:r>
    </w:p>
    <w:p>
      <w:r>
        <w:t>15. The market for flow programs includes various news programs, magazines, games, variety shows, or talk shows.</w:t>
      </w:r>
    </w:p>
    <w:p>
      <w:r>
        <w:t>16. Furthermore, decision-making practice has considered a possible market for the acquisition of rights pertaining, within flow programs, to news images, while leaving the questions of the existence of this market and its geographical delimitation open. The suppliers in this potential market are the two major news agencies, APTN (Associated Press Television News) and Reuters, as well as independent companies (CAPA, Point du jour, etc.). In this case, this question can be left open, as the conclusions of the competitive analysis remain unchanged regardless of the segmentation adopted.</w:t>
      </w:r>
    </w:p>
    <w:p>
      <w:r>
        <w:t>b) Segmentation between original programs and catalog programs</w:t>
      </w:r>
    </w:p>
    <w:p>
      <w:r>
        <w:t>17. The Authority has considered the existence of a segmentation of the market between original programs and catalog programs, without definitively resolving the issue.</w:t>
      </w:r>
    </w:p>
    <w:p>
      <w:r>
        <w:t>18. In this case, the question of a segmentation of the market between original programs and catalog programs can be left open insofar as, regardless of the delimitation adopted, the conclusions of the competitive analysis remain unchanged.</w:t>
      </w:r>
    </w:p>
    <w:p>
      <w:r>
        <w:t>c) Segmentation according to the mode of distribution</w:t>
      </w:r>
    </w:p>
    <w:p>
      <w:r>
        <w:t>19. The Authority has also considered segmenting the rights of television programs between rights intended for linear television services and those intended for non-linear television services (such as video on demand and subscription video on demand).</w:t>
      </w:r>
    </w:p>
    <w:p>
      <w:r>
        <w:t>20. In this case, the question of a segmentation of the market between rights intended for linear distribution and rights intended for non-linear distribution can be left open, as regardless of the delimitation adopted, the conclusions of the competitive analysis remain unchanged.</w:t>
      </w:r>
    </w:p>
    <w:p>
      <w:r>
        <w:t>5 See the letter from the Minister of Economy C2006-83 of October 26, 2006, to the boards of France Télévisions and TF1 regarding a concentration in the thematic channels sector and the aforementioned decision No. 16-DCC-10.</w:t>
      </w:r>
    </w:p>
    <w:p>
      <w:r>
        <w:t>6 See the aforementioned decisions No. 17-DCC-29 and No. 16-DCC-10.</w:t>
      </w:r>
    </w:p>
    <w:p>
      <w:r>
        <w:t>7 See the aforementioned decisions No. 17-DCC-29, No. 16-DCC-10, and No. 10-DCC-11.</w:t>
      </w:r>
    </w:p>
    <w:p>
      <w:r>
        <w:t>B. GEOGRAPHICAL MARKET</w:t>
      </w:r>
    </w:p>
    <w:p>
      <w:r>
        <w:t>Decision-making practice defines this market as being of national dimension insofar as the rights are acquired solely for the national territory or, at most, for the same linguistic area.</w:t>
      </w:r>
    </w:p>
    <w:p>
      <w:r>
        <w:t>III. Competitive Analysis</w:t>
      </w:r>
    </w:p>
    <w:p>
      <w:r>
        <w:t>21. The present operation results in the transition from joint control to exclusive control of Newen Studios by TF1.</w:t>
      </w:r>
    </w:p>
    <w:p>
      <w:r>
        <w:t>22. The transition from joint control to exclusive control is generally not likely to significantly alter the conditions of competition. Nevertheless, the competitive analysis must be conducted taking into account the parties' positions in the markets, their potential strengthening following the operation, and their incentives to modify their competitive behaviors. In certain cases, particularly those involving parties in a competitive situation prior to the concentration, the transition from joint control to exclusive control has been subject to in-depth examination.</w:t>
      </w:r>
    </w:p>
    <w:p>
      <w:r>
        <w:t>23. The competitive analysis will take into account the risk of a change in TF1's incentives in the market for broadcasting rights for audiovisual programs, and will consider any developments that may have occurred in the relevant markets since decision No. 16-DCC-10 of January 21, 2016, regarding the joint control by TF1 and FIFL of FLCP, in terms of horizontal effects (A) and vertical effects (B).</w:t>
      </w:r>
    </w:p>
    <w:p>
      <w:r>
        <w:t>A. HORIZONTAL EFFECTS</w:t>
      </w:r>
    </w:p>
    <w:p>
      <w:r>
        <w:t>24. In the market for broadcasting rights for other audiovisual programs, following the operation, the market share of the new entity will be less than 25%, regardless of the segmentation adopted.</w:t>
      </w:r>
    </w:p>
    <w:p>
      <w:r>
        <w:t>25. Consequently, the operation is not likely to harm competition through horizontal effects in the market for broadcasting rights for other audiovisual programs.</w:t>
      </w:r>
    </w:p>
    <w:p>
      <w:r>
        <w:t>B. VERTICAL EFFECTS</w:t>
      </w:r>
    </w:p>
    <w:p>
      <w:r>
        <w:t>26. The aforementioned decision No. 16-DCC-10 analyzed the strengthening of TF1's vertical integration following its joint control of Newen Studios and excluded any risk of vertical effect on the relevant markets.</w:t>
      </w:r>
    </w:p>
    <w:p>
      <w:r>
        <w:t>27. A vertical concentration can restrict competition by making access to the markets in which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thus reducing their commercial outlets. However, decision-making practice considers that a risk of vertical effect can generally be ruled out as long as the market share of the entity resulting from the operation in the relevant markets does not exceed 30%.</w:t>
      </w:r>
    </w:p>
    <w:p>
      <w:r>
        <w:t>28. According to decision-making practice, the likelihood that the operation distorts competition through vertical effects depends on TF1's ability to effectively restrict its competitors' access to television program rights and/or to effectively reduce the outlets of competing producers, the group's incentive to implement such a strategy, and the effects of this strategy on the markets in question. In practice, these three criteria are closely linked.</w:t>
      </w:r>
    </w:p>
    <w:p>
      <w:r>
        <w:t>On the market for stock programs</w:t>
      </w:r>
    </w:p>
    <w:p>
      <w:r>
        <w:t>29. Regarding the new entity's ability to implement a lock-in strategy in the market for stock programs, including EOF fictions, according to TF1's estimates, the market share of the new entity will be less than 25% in the stock programs market, regardless of the segmentation considered, for the 2016-2017 season. In this market, the new entity will face competition from Lagardère (estimated market share between 10 and 15%) and Mediawan (estimated market share between 5 and 10%) as well as a large number of smaller producers (market share between 0 and 5%), such as Groupe JLA, Tetra Média Studio, Groupe Elephant, Cinétévé, Banijay Group, and MFP.</w:t>
      </w:r>
    </w:p>
    <w:p>
      <w:r>
        <w:t>30. TF1 is also a buyer of broadcasting rights for the channels it publishes. It represents less than 30% of the total value of broadcasting rights purchases for stock programs and EOF fictions in 2016. France Télévisions is the largest buyer in the stock programs market, with a purchase share exceeding 40%. According to the information provided by TF1, France Télévisions is also the largest buyer of EOF and European fictions.</w:t>
      </w:r>
    </w:p>
    <w:p>
      <w:r>
        <w:t>31. In light of the above, the market share of the new entity will not exceed 30%, and any risk of vertical effect can therefore be ruled out in principle.</w:t>
      </w:r>
    </w:p>
    <w:p>
      <w:r>
        <w:t>32. In any case, regarding the new entity's incentive to implement a lock-in strategy in the market for stock programs, including EOF fictions, it appears from the information provided by TF1 that the conclusions of the analysis in decision No. 16-DCC-10 remain valid in this case.</w:t>
      </w:r>
    </w:p>
    <w:p>
      <w:r>
        <w:t>33. Indeed, on the one hand, France Télévisions represents [&gt;50]% of Newen Studios' revenue, and on the other hand, regulations compel TF1 to invest in independent production. Thus, an increase in TF1's procurement from Newen Studios will lead to a decrease in its revenue from France Télévisions (mainly through the program Plus belle la vie). The obligations for independent production would also constrain TF1, in the event of an increase in its procurement from Newen Studios, either to reduce its procurement from TF1 Productions (and</w:t>
      </w:r>
    </w:p>
    <w:p>
      <w:r>
        <w:rPr>
          <w:b/>
        </w:rPr>
        <w:t>[Pages 7–8]</w:t>
      </w:r>
    </w:p>
    <w:p>
      <w:r>
        <w:t>therefore to offer competing channels programs from TF1 Productions), or to increase its overall investment envelope (and thus turn to independent producers for supply). In any case, the joint control exercised by TF1 over Newen Studios prevented it, even before the present operation, from considering the programs of Newen Studios as independent production. TF1's incentive to implement a locking strategy, excluded in decision No. 16-DCC-10, will thus not be modified following the exclusive control of Newen Studios.</w:t>
      </w:r>
    </w:p>
    <w:p>
      <w:r>
        <w:t>34. Regarding the effects of a locking strategy on access to the market for broadcasting rights of stock programs, including EOF fictions, or access to clientele, this would, moreover, have little impact given the market share of Newen Studios, the fragmented nature of the stock program market, and the applicable regulations.</w:t>
      </w:r>
    </w:p>
    <w:p>
      <w:r>
        <w:t>On the market for flow programs</w:t>
      </w:r>
    </w:p>
    <w:p>
      <w:r>
        <w:t>35. Regarding the new entity's ability to implement a locking strategy in the flow program market, the market share of the new entity will be less than 10% for the 2016-2017 season. The new entity will face competition from the Banijay/Zodiak Media group (estimated market share between 25 and 30%), Lagardère Studios, Endemol Shine (respective estimated market share between 10 and 15%), as well as a large number of smaller producers (estimated market share between 5 and 10%), such as Troisième Œil Production, Freemantle, and Bangumi.</w:t>
      </w:r>
    </w:p>
    <w:p>
      <w:r>
        <w:t>36. TF1 represents less than 30% of the total value of flow program broadcasting rights purchases in 2016 and faces competition from all free channels, including France Télévisions and M6.</w:t>
      </w:r>
    </w:p>
    <w:p>
      <w:r>
        <w:t>37. In light of the above, the market share of the new entity will not exceed 30%, and any risk of vertical effects can therefore be ruled out in principle.</w:t>
      </w:r>
    </w:p>
    <w:p>
      <w:r>
        <w:t>38. In any case, regarding the new entity's incentive to implement a locking strategy in the flow program market, it appears from the information provided by the notifying party that TF1 sourced nearly [50-60]% from ITV Studios France in 2017, [10-20]% from Endemol Shine, [10-20]% from the BBC, and [5-10]% from Coyote. While TF1 emphasizes that flow programs must correspond to the editorial identity of the channel, it may have an incentive to retain the flow programs from Newen Studios, as these programs are not subject to specific regulation, to supply the group's channels. Newen Studios produces attractive content including 66 Minutes, Envoyé Spécial, Harry, Faites Entrer l’Accusé, and Allô Docteurs. Such a strategy, limiting competing channels' access to Newen Studios programs, would also reduce the outlets for competing producers.</w:t>
      </w:r>
    </w:p>
    <w:p>
      <w:r>
        <w:t>39. However, the effects of such a strategy can be ruled out given Newen Studios' low market share in the flow program market and the fragmented nature of the market. They can also be ruled out to the extent that competing producers could approach competing free channels, notably France Télévisions and M6, which represent, according to the notifying party's estimates, [50-60]% and [10-20]% of the total flow program purchases in the market, respectively.</w:t>
      </w:r>
    </w:p>
    <w:p>
      <w:r>
        <w:t>40. In light of all these elements, the present operation is not likely to harm competition through vertical effects in the markets for broadcasting rights of stock programs, EOF fictions, and flow programs.</w:t>
      </w:r>
    </w:p>
    <w:p>
      <w:r>
        <w:t>DECIDES</w:t>
      </w:r>
    </w:p>
    <w:p>
      <w:r>
        <w:t>Sole Article: The operation notified under number 18-090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