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https://www.autoritedelaconcurrence.fr/fr/decision-de-controle-des-concentrations/relative-la-prise-de-controle-exclusif-de-onze-fonds-de-0</w:t>
      </w:r>
    </w:p>
    <w:p>
      <w:r>
        <w:t>Pages translated : 2</w:t>
      </w:r>
    </w:p>
    <w:p/>
    <w:p>
      <w:r>
        <w:rPr>
          <w:b/>
        </w:rPr>
        <w:t>[Pages 1–2]</w:t>
      </w:r>
    </w:p>
    <w:p>
      <w:r>
        <w:t xml:space="preserve">FRENCH REPUBLIC  </w:t>
        <w:br/>
        <w:t xml:space="preserve">Decision No. 23-DCC-30 of February 13, 2023  </w:t>
        <w:br/>
        <w:t xml:space="preserve">regarding the exclusive control acquisition of eleven automobile distribution business assets by the Dubreuil group  </w:t>
        <w:br/>
        <w:t xml:space="preserve">The Competition Authority,  </w:t>
        <w:br/>
        <w:t xml:space="preserve">Having regard to the complete notification file sent to the mergers department on January 27, 2023, concerning the exclusive control acquisition of eleven automobile distribution business assets of the company SMI by the Dubreuil group, via the companies Claris Automobiles and Clara Automobiles, formalized by a letter of intent dated December 29,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of eleven automobile distribution business assets, previously held by the company SMI, in the departments of Charente-Maritime (17), Creuse (23), and Indre (36) by the Dubreuil group, which is itself active in the automobile distribution sector.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22-337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