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https://www.autoritedelaconcurrence.fr/fr/decision-de-controle-des-concentrations/relative-la-prise-de-controle-exclusif-de-onze-fonds-de</w:t>
      </w:r>
    </w:p>
    <w:p>
      <w:r>
        <w:t>Pages translated : 2</w:t>
      </w:r>
    </w:p>
    <w:p/>
    <w:p>
      <w:r>
        <w:rPr>
          <w:b/>
        </w:rPr>
        <w:t>[Pages 1–2]</w:t>
      </w:r>
    </w:p>
    <w:p>
      <w:r>
        <w:t>FRENCH REPUBLIC</w:t>
        <w:br/>
        <w:t>Decision No. 18-DCC-210 of December 10, 2018</w:t>
        <w:br/>
        <w:t>regarding the exclusive control acquisition of eleven business assets under the Fly brand by the company Centrakor Stores</w:t>
        <w:br/>
        <w:t>The Competition Authority,</w:t>
        <w:br/>
        <w:t>Having regard to the notification file sent to the mergers department on July 27, 2018, declared complete on November 8, 2018, concerning the exclusive control acquisition of eleven business assets under the Fly brand by the company Centrakor Stores, formalized by a firm offer letter dated July 11, 2018 (amended on August 3, 2018) and a supplementary firm offer letter dated October 25, 2018;</w:t>
        <w:br/>
        <w:t>Having regard to Book IV of the Commercial Code relating to the freedom of prices and competition, and in particular its Articles L. 430-1 to L. 430-7;</w:t>
        <w:br/>
        <w:t>Adopts the following decision:</w:t>
        <w:br/>
        <w:t>1. The notified operation consists of the exclusive control acquisition of eleven business assets under the Fly brand by the company Centrakor Stores.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The markets concerned by the operation are those of the retail distribution of decoration and miscellaneous products.</w:t>
        <w:br/>
        <w:t>3. Regardless of the segmentations retained, the combined market shares of the parties are below 25%.</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18-174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