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https://www.autoritedelaconcurrence.fr/fr/decision-de-controle-des-concentrations/relative-la-prise-de-controle-exclusif-de-pixmania-sas-par</w:t>
      </w:r>
    </w:p>
    <w:p>
      <w:r>
        <w:t>Pages translated : 3</w:t>
      </w:r>
    </w:p>
    <w:p/>
    <w:p>
      <w:r>
        <w:rPr>
          <w:b/>
        </w:rPr>
        <w:t>[Pages 1–3]</w:t>
      </w:r>
    </w:p>
    <w:p>
      <w:r>
        <w:t xml:space="preserve">FRENCH REPUBLIC  </w:t>
        <w:br/>
        <w:t xml:space="preserve">Decision No. 13-DCC-161 of November 20, 2013  </w:t>
        <w:br/>
        <w:t xml:space="preserve">regarding the exclusive control of Pixmania SAS  </w:t>
        <w:br/>
        <w:t>by mutares AG</w:t>
      </w:r>
    </w:p>
    <w:p>
      <w:r>
        <w:t xml:space="preserve">The Competition Authority,  </w:t>
        <w:br/>
        <w:t xml:space="preserve">Having regard to the notification file submitted in full to the merger service on October 17, 2013, concerning the acquisition of Pixmania SAS by mutares Holding-18 AG, formalized by a Sale and Purchase Agreement dated September 26, 2013;  </w:t>
        <w:br/>
        <w:t xml:space="preserve">Having regard to Book IV of the Commercial Code relating to price freedom and competition, and in particular its Articles L. 430-1 to L. 430-7;  </w:t>
        <w:br/>
        <w:t>Adopts the following decision:</w:t>
      </w:r>
    </w:p>
    <w:p>
      <w:r>
        <w:t xml:space="preserve">I. The companies concerned and the operation  </w:t>
        <w:br/>
        <w:t xml:space="preserve">1. mutares Holding-18 AG is a company 100% controlled by the investment fund mutares AG, the parent company of the mutares group. mutares AG is an industrial holding company that focuses on the acquisition of companies facing particular situations such as succession issues, restructuring, and refinancing. mutares AG has stakes in companies active in Europe, notably in the sectors of manufacturing and marketing of industrial components and parts, office equipment, consumer goods, pharmaceuticals, and in the distribution of tableware products as well as the transport of goods. mutares AG is controlled by [confidential], who have no economic activity outside the mutares group. mutares Holding-18 AG (hereinafter "mutares Holding") was created for the needs of the operation.  </w:t>
        <w:br/>
        <w:t xml:space="preserve">2. Pixmania is a simplified joint-stock company exclusively controlled by DSG Overseas Investments Ltd, which is itself 100% owned by Dixon Retails Plc, a company listed on the London Stock Exchange. Pixmania is, in France, an online retailer of electronic equipment, household appliances, and toys through its sites "PIXmania" (BtoC sales) and "PIXmania-pro" (BtoB sales). Pixmania also has an integrated marketplace activity, under the name PixPlace (BtoBtoC sales). Pixmania has two subsidiaries active in France, namely Japan Diffusion, active in the wholesale of electronic products and E-merchant, active in providing services to businesses for the creation and development of online merchant sites.  </w:t>
        <w:br/>
        <w:t xml:space="preserve">3. The notified transaction, formalized by an agreement dated September 26, 2013, consists of the acquisition by mutares Holding of 100% of the social rights of Pixmania from DSG Overseas Investments Ltd.  </w:t>
        <w:br/>
        <w:t xml:space="preserve">4. As it results in the exclusive control of Pixmania by mutares Holding, the notified transaction constitutes a concentration operation within the meaning of Article L. 430-1 of the Commercial Code.  </w:t>
        <w:br/>
        <w:t>5. The companies concerned together achieve a total worldwide turnover excluding taxes of more than 150 million euros (mutares AG: 470 million euros for the fiscal year ending December 31, 2012; Pixmania: 699.5 million euros for the fiscal year ending April 31, 2013). Each achieves in France a turnover exceeding 50 million euros (mutares AG: 102.6 million euros for the fiscal year ending December 31, 2012; Pixmania: 215.2 million euros for the fiscal year ending April 31, 2013). Given these turnover figures, the operation does not have a community dimension. However, the control thresholds mentioned in Article L 430-2 of the Commercial Code are exceeded. This operation is therefore subject to the provisions of Articles L. 430-3 and following of the Commercial Code relating to economic concentration.</w:t>
      </w:r>
    </w:p>
    <w:p>
      <w:r>
        <w:t xml:space="preserve">II. Competitive analysis  </w:t>
        <w:br/>
        <w:t xml:space="preserve">6. The mutares group is not active and does not hold any controlling stake, directly or indirectly, in companies present in the sector of online sales of photographic and audiovisual equipment, household appliances, and IT services. The operation therefore does not result in any horizontal overlap.  </w:t>
        <w:br/>
        <w:t xml:space="preserve">7. The mutares group controls the company SN CGVL, active in the market for the transport of goods in France, which presents a vertical link with the activities of the target, insofar as Pixmania uses the transport of goods to deliver the products it sells online via external service providers.  </w:t>
        <w:br/>
        <w:t xml:space="preserve">8. A vertical concentration can restrict competition by making access to the markets on which the new entity will be active more difficult, or even potentially excluding competitors or penalizing them by increasing their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active manufacturers, thus reducing their commercial outlets. However, the decision-making practice of the competition authorities generally dismisses these lock-in risks when the share of the company resulting from the operation in the concerned markets does not exceed 30%.  </w:t>
        <w:br/>
        <w:t>9. In this case, the notifying party estimates that SN CGVL represents only about 0.1% of the road transport market for goods in France. Furthermore, Pixmania's total transport expenses represent only a marginal portion of the road transport market in France. The operation is therefore not likely to harm competition through vertical effects.</w:t>
      </w:r>
    </w:p>
    <w:p>
      <w:r>
        <w:t xml:space="preserve">DECIDES  </w:t>
        <w:br/>
        <w:t xml:space="preserve">Single Article: The notified operation under number 13-175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