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https://www.autoritedelaconcurrence.fr/fr/decision-de-controle-des-concentrations/relative-la-prise-de-controle-exclusif-de-plusieurs-0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24-DCC-37 of March 12, 2024</w:t>
        <w:br/>
        <w:t>regarding the exclusive control acquisition of several companies belonging</w:t>
        <w:br/>
        <w:t>to the NDK group by the Peyrot group</w:t>
        <w:br/>
        <w:t>The Competition Authority,</w:t>
        <w:br/>
        <w:t>Having regard to the complete notification file sent to the mergers department on February 23, 2024,</w:t>
        <w:br/>
        <w:t>concerning the acquisition of control over the companies Diffusion Automobile Clermontaise, l’Occitane</w:t>
        <w:br/>
        <w:t>Automobiles, Sea Sète Exploitation Automobiles, Métropole Automobile, and Perpignan Avenir</w:t>
        <w:br/>
        <w:t>Automobile, formalized by a framework execution protocol dated December 19, 2023;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exclusive control acquisition by the Peyrot group of the companies</w:t>
        <w:br/>
        <w:t>Diffusion Automobile Clermontaise, l’Occitane Automobiles, Sea Sète Exploitation</w:t>
        <w:br/>
        <w:t>Automobiles, Metropole Automobile, and Perpignan Avenir Automobile, which operate</w:t>
        <w:br/>
        <w:t>several automotive distribution businesses in the departments of</w:t>
        <w:br/>
        <w:t>Hérault (34) and Pyrénées-Orientales (66). It constitutes a concentration operation within</w:t>
        <w:br/>
        <w:t>the meaning of Article L. 430-1 of the Commercial Code. Given the turnover generated</w:t>
        <w:br/>
        <w:t>by the companies concerned, the operation does not fall under the jurisdiction of the European</w:t>
        <w:br/>
        <w:t>Union. However, the retail control thresholds mentioned in</w:t>
        <w:br/>
        <w:t>II of Article L. 430-2 of the Commercial Code are exceeded. This operation is therefore</w:t>
        <w:br/>
        <w:t>subject to the provisions of Articles L. 430-3 and following of the Commercial Code relating to</w:t>
        <w:br/>
        <w:t>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24-029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