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https://www.autoritedelaconcurrence.fr/fr/decision-de-controle-des-concentrations/relative-la-prise-de-controle-exclusif-de-plusieurs-1</w:t>
      </w:r>
    </w:p>
    <w:p>
      <w:r>
        <w:t>Pages translated : 2</w:t>
      </w:r>
    </w:p>
    <w:p/>
    <w:p>
      <w:r>
        <w:rPr>
          <w:b/>
        </w:rPr>
        <w:t>[Pages 1–2]</w:t>
      </w:r>
    </w:p>
    <w:p>
      <w:r>
        <w:t xml:space="preserve">FRENCH REPUBLIC  </w:t>
        <w:br/>
        <w:t xml:space="preserve">Decision No. 25-DCC-321 of December 12, 2025  </w:t>
        <w:br/>
        <w:t xml:space="preserve">regarding the exclusive control acquisition of several companies of the Continental group by OESL International  </w:t>
        <w:br/>
        <w:t xml:space="preserve">The Competition Authority,  </w:t>
        <w:br/>
        <w:t xml:space="preserve">Having regard to the complete notification file sent to the mergers department on November 20, 2025, concerning the exclusive control acquisition of several companies of the Continental group by OESL International, formalized by a share acquisition agreement dated August 27, 2025;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exclusive control acquisition by OESL International, held by Michael Reinstein, of thirty companies, currently indirectly controlled by the Continental company, active in the sector of manufacturing and selling spare parts for passenger and commercial vehicles.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25-240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