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https://www.autoritedelaconcurrence.fr/fr/decision-de-controle-des-concentrations/relative-la-prise-de-controle-exclusif-de-plusieurs-actifs</w:t>
      </w:r>
    </w:p>
    <w:p>
      <w:r>
        <w:t>Pages translated : 9</w:t>
      </w:r>
    </w:p>
    <w:p/>
    <w:p>
      <w:r>
        <w:rPr>
          <w:b/>
        </w:rPr>
        <w:t>[Pages 1–3]</w:t>
      </w:r>
    </w:p>
    <w:p>
      <w:r>
        <w:t>FRENCH REPUBLIC</w:t>
        <w:br/>
        <w:t>Decision No. 22-DCC-19 of February 15, 2022</w:t>
        <w:br/>
        <w:t>relating to the exclusive control of several assets of the Salej group by Naturalia</w:t>
        <w:br/>
        <w:t>The Competition Authority,</w:t>
        <w:br/>
        <w:t>Having regard to the notification file sent to the merger service on February 19, 2021, declared complete on July 5, 2021, relating to the acquisition of control of the assets of the Salej group by Naturalia, formalized by the takeover offer of January 11, 2021, and the judgments of the Commercial Court of Montpellier of April 28, 2021;</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r>
    </w:p>
    <w:p>
      <w:r>
        <w:t>DECISION NO. 22-DCC-19 OF FEBRUARY 15, 2022 RELATING TO THE EXCLUSIVE CONTROL OF SEVERAL ASSETS OF THE SALEJ GROUP BY NATURALIA ...................................................... 1</w:t>
        <w:br/>
        <w:t>I. THE COMPANIES CONCERNED AND THE OPERATION ........................................................... 4</w:t>
        <w:br/>
        <w:t>II. DELINEATION OF RELEVANT MARKETS ...................................................................... 4</w:t>
        <w:br/>
        <w:t>A. Upstream supply markets ............................................................................................. 5</w:t>
        <w:br/>
        <w:t>1. Product markets ........................................................................................................... 5</w:t>
        <w:br/>
        <w:t>2. Geographic markets ...................................................................................................... 5</w:t>
        <w:br/>
        <w:t>B. Downstream markets for the retail distribution of organic products ................... 6</w:t>
        <w:br/>
        <w:t>1. Service markets ........................................................................................................... 6</w:t>
        <w:br/>
        <w:t>2. Geographic markets ...................................................................................................... 6</w:t>
        <w:br/>
        <w:t>III. COMPETITIVE ANALYSIS ............................................................................................... 7</w:t>
        <w:br/>
        <w:t>A. Effects of the operation on upstream markets for the supply of organic products ............................................................................................................................. 7</w:t>
        <w:br/>
        <w:t>B. Effects of the operation on downstream markets for the retail distribution of organic products ..................................................................................................... 8</w:t>
        <w:br/>
        <w:t>1. Methodology ............................................................................................................... 8</w:t>
        <w:br/>
        <w:t>2. Analysis of local areas ................................................................................................. 8</w:t>
        <w:br/>
        <w:t>2</w:t>
      </w:r>
    </w:p>
    <w:p>
      <w:r>
        <w:t>Summary1</w:t>
        <w:br/>
        <w:t>In the terms of the following decision, the Authority examined the exclusive control by the company Naturalia, a subsidiary of the Casino group, of fifteen business assets operated by subsidiaries of Salej Holding under various brands ("La Nature et vous", "Bio &amp; Sens", "On a la vie", "Au Sens Bio", and "l’Éthique Verte").</w:t>
        <w:br/>
        <w:t>The target business assets and the company Naturalia are active in the retail distribution of predominantly food products derived from organic agriculture.</w:t>
        <w:br/>
        <w:t>Regarding the upstream markets for the supply of predominantly food organic products, the Authority ruled out any risk of harm to competition, as the operation submitted for its examination was not likely to significantly strengthen Naturalia's purchasing power or create a situation of economic dependence among suppliers that could harm competition in the upstream supply market, given the limited market shares of the parties.</w:t>
        <w:br/>
        <w:t>Concerning the downstream market for the distribution of predominantly food organic products, the Authority examined the effects of the operation on the retail distribution market for predominantly food organic products restricted to large-scale retailers (GSS).</w:t>
        <w:br/>
        <w:t>The Authority conducted its analysis on local areas corresponding to the actual footprints of the target stores. In the overlapping activity areas between the parties where their cumulative market shares are below 25%, the Authority ruled out any risk of harm to competition. In areas where the cumulative market shares of the parties are between 25% and 50%, the Authority considered that any serious doubt regarding harm to competition could be ruled out given the presence of at least three competing groups.</w:t>
        <w:br/>
        <w:t>Consequently, the Authority authorized the operation unconditionally.</w:t>
        <w:br/>
        <w:t>1 This summary is purely informative. Only the reasons for the decision numbered below are authoritative.</w:t>
      </w:r>
    </w:p>
    <w:p>
      <w:r>
        <w:rPr>
          <w:b/>
        </w:rPr>
        <w:t>[Pages 4–6]</w:t>
      </w:r>
    </w:p>
    <w:p>
      <w:r>
        <w:t>I. The Companies Involved and the Operation</w:t>
        <w:br/>
        <w:t>1. The company Naturalia France (hereinafter "Naturalia") is a subsidiary of the Casino group, which operates retail stores primarily focused on organic food products. The Casino group itself is active in the retail sector with a focus on food products and in the non-food online commerce sector.</w:t>
        <w:br/>
        <w:t>2. The target assets are business assets operated under various brands ("La Nature et vous", "Bio &amp; Sens", "On a la vie", "Au Sens Bio", and "l’Éthique Verte") by the companies LNV1, Nature et Bio, Au Sens Bio, Bio &amp; Sens Holding, Société des Produits de la Nature, subsidiaries of the company Salej Holding (hereinafter collectively "the Salej group"), also active in the retail sector with a focus on organic food products.</w:t>
        <w:br/>
        <w:t>3. By judgments of November 5, 2019, the commercial court of Montpellier opened judicial recovery proceedings for the benefit of these companies.</w:t>
        <w:br/>
        <w:t>4. On January 11, 2021, Naturalia submitted a takeover bid concerning the target business assets: a total of fifteen business assets located in Cugnaux, Essey-lès-Nancy, Figeac, Jacou, Jouy-aux-Arches, Juvignac, Loriol-sur-Drôme, Manosque, Pertuis, Ramonville, Saint-Jean de Vedas, Saint-Aunès, Saint-Gély-du-Fesc, Terville, and Villefranche-de-Lauragais (hereinafter "the takeover bid").</w:t>
        <w:br/>
        <w:t>5. On February 25, 2021, pursuant to the second paragraph of Article L. 430-4 of the Commercial Code, the Competition Authority granted Naturalia an exemption from the suspensive effect of the concentration control so that it could proceed with the effective acquisition of the target business assets in the event that its bid was accepted by the commercial court. The Authority considered that the conditions for the application of the second paragraph of Article L. 430-4 of the Commercial Code were met in this case.</w:t>
        <w:br/>
        <w:t>6. By judgments of April 28, 2021, the commercial court of Montpellier authorized the transfer of the target business assets to Naturalia in accordance with the takeover bid.</w:t>
        <w:br/>
        <w:t>7. The notified operation, formalized by the takeover bid and by the judgments of April 28, 2021, consists of the exclusive control by Naturalia of fifteen business assets previously belonging to the Salej group. It constitutes a concentration operation within the meaning of Article L. 430-1 of the Commercial Code.</w:t>
        <w:br/>
        <w:t>8. The companies involved together generate a total worldwide turnover of over 75 million euros (Casino group: 31,912 million euros for the fiscal year ending December 31, 2020; targets: [&lt;75] million euros for the fiscal year ending June 30, 2020). Each of these companies generates in France a turnover exceeding 15 million euros (Casino group: 17,235 million euros for the fiscal year ending December 31, 2020; targets: [&gt;15] million euros for the fiscal year ending June 30, 2020). Given these turnover figures, the operation does not have a European dimension. However, the control thresholds mentioned in II of Article L. 430-2 of the Commercial Code are exceeded. This operation is therefore subject to the provisions of Articles L. 430-3 and following of the Commercial Code, relating to economic concentration.</w:t>
        <w:br/>
        <w:t>II. Delineation of Relevant Markets</w:t>
      </w:r>
    </w:p>
    <w:p>
      <w:r>
        <w:t>9. The parties are simultaneously present in the supply and retail distribution markets for predominantly food products derived from organic agriculture.</w:t>
        <w:br/>
        <w:t>A. UPSTREAM SUPPLY MARKETS</w:t>
        <w:br/>
        <w:t>1. PRODUCT MARKETS</w:t>
        <w:br/>
        <w:t>10. In the upstream supply markets, companies in the food retail sector are present as buyers. Competition authorities distinguish as many markets as there are families or groups of products.</w:t>
        <w:br/>
        <w:t>11. The following categories have thus been distinguished:</w:t>
        <w:br/>
        <w:t>- fast-moving consumer goods: (1) liquids, (2) drugstore items, (3) perfumes and hygiene, (4) dry grocery, (5) parapharmacy, (6) perishable goods in self-service;</w:t>
        <w:br/>
        <w:t>- traditional fresh: (7) delicatessen, (8) fishmonger, (9) fruits and vegetables, (10) bread and fresh pastries, (11) butcher;</w:t>
        <w:br/>
        <w:t>- bazaar: (12) DIY, (13) home, (14) culture, (15) toys, leisure and relaxation, (16) garden, (17) automotive;</w:t>
        <w:br/>
        <w:t>- household appliances, photo, cinema and sound: (18) large household appliances, (19) small household appliances, (20) photo and cinema, (21) hi-fi and sound, (22) TV and video; and</w:t>
        <w:br/>
        <w:t>- textiles: (23) textiles and shoes.</w:t>
        <w:br/>
        <w:t>12. In its decision No. 21-DCC-161 of September 10, 2021, the Authority considered the existence of a distinct market for the supply of organic products and noted a set of factors tending to confirm the existence of such a market; it also examined whether it was relevant to consider a segmentation of this market by distribution channel, particularly between the supply of large retail stores (hereinafter "GSA") and that of specialized large retail stores (hereinafter "GSS").</w:t>
        <w:br/>
        <w:t>13. In this case, the notifying party considers that the supply of organic products constitutes a distinct market from the supply market for traditional products. The parties are simultaneously present in the overall upstream market for the supply of organic products. Their activities also overlap as an upstream market for the supply of organic products intended for GSS is considered.</w:t>
        <w:br/>
        <w:t>14. The Authority will therefore examine the impact of the operation on an upstream market for the supply of organic products. However, the question of the segmentation of this market by distribution channel may remain open, as the conclusions of the competitive analysis remain unchanged, regardless of the segmentations considered.</w:t>
        <w:br/>
        <w:t>2. GEOGRAPHIC MARKETS</w:t>
        <w:br/>
        <w:t>15. The decision-making practice considers that the upstream supply markets for food products are of national dimension.</w:t>
        <w:br/>
        <w:t>16. This delineation can be retained in this case concerning the upstream supply markets for organic products.</w:t>
        <w:br/>
        <w:t>B. DOWNSTREAM MARKETS FOR THE RETAIL DISTRIBUTION OF ORGANIC PRODUCTS</w:t>
        <w:br/>
        <w:t>1. SERVICE MARKETS</w:t>
        <w:br/>
        <w:t>17. Regarding the retail distribution of predominantly food products, the decision-making practice of the Authority distinguishes six categories of commerce, based on several criteria, including the size of the stores, their sales techniques, their accessibility, the nature of the service provided, and the range of products offered: (i) hypermarkets (with a sales area greater than 2,500 m²), (ii) supermarkets (with a sales area less than 2,500 m² and greater than 400 m²), (iii) specialized trade, (iv) small retail trade (less than 400 m²), (v) discount stores, and (vi) mail-order sales.</w:t>
        <w:br/>
        <w:t>18. Stores specialized in organic products belong to the category of specialized commerce.</w:t>
        <w:br/>
        <w:t>19. In the aforementioned decision No. 21-DCC-161 of September 10, 2021, the Authority was led to rule on the existence of a specific market for the retail distribution of organic products. Given the limited substitutability, in the eyes of consumers, between organic products and conventional products, the specificities of organic products, particularly in terms of quality or values highlighted by the product, and the significant and persistent price differences between organic and conventional products, it concluded to the existence of a specific market for the retail distribution of organic products.</w:t>
        <w:br/>
        <w:t>20. Furthermore, within this market, the Authority considered a segmentation based on the commercial positioning of the product (manufacturer brand "MDF" or distributor brand "MDD"), and based on the distribution channel of the product ("GSA" or "GSS"). In its decision, it recalls that the imperfect substitutability between GSS and GSA has previously justified the Competition Council and then the Authority in recognizing the existence of distinct markets, according to distribution circuits, and concludes in this case to the existence of a distinct market for the retail distribution of predominantly organic food products restricted to GSS.</w:t>
        <w:br/>
        <w:t>21. In the present case, the parties are simultaneously present in this market for the retail distribution of predominantly organic food products restricted to GSS.</w:t>
        <w:br/>
        <w:t>2. GEOGRAPHIC MARKETS</w:t>
        <w:br/>
        <w:t>22. Regarding the food retail distribution sector, the decision-making practice has defined distinct geographic markets depending on whether the areas concerned are located in i) inner Paris, ii) the inner suburbs, iii) the outer suburbs, iv) large provincial cities, or v) the provinces. This distinction has also been retained concerning GSS specialized in the distribution of organic products.</w:t>
        <w:br/>
        <w:t>23. However, the Authority has not yet been led to precisely delineate the catchment areas of GSS specialized in the distribution of organic products.</w:t>
        <w:br/>
        <w:t>24. In the aforementioned decision No. 21-DCC-161 of September 10, 2021, the Authority notes several elements indicating that consumers would be willing to travel a greater distance.</w:t>
      </w:r>
    </w:p>
    <w:p>
      <w:r>
        <w:rPr>
          <w:b/>
        </w:rPr>
        <w:t>[Pages 7–9]</w:t>
      </w:r>
    </w:p>
    <w:p>
      <w:r>
        <w:t>importante pour se rendre dans une GSS que dans une GSA de surface équivalente aux magasins cibles. Elle constate néanmoins l’absence de données suffisamment cohérentes pour converger vers une zone géographique déterminée et analyse les données d’empreintes réelles relatives aux magasins cibles, qui reflètent les temps de parcours réels des consommateurs.</w:t>
      </w:r>
    </w:p>
    <w:p>
      <w:r>
        <w:t>25. In the present case, the parties provided actual footprint data for the vast majority of the target stores. The question of the exact geographical delineation of the markets for the distribution of organic products may therefore remain open.</w:t>
      </w:r>
    </w:p>
    <w:p>
      <w:r>
        <w:t>26. The analysis was thus conducted taking into account the actual footprints of the target stores. The actual footprint constitutes the real catchment area of the target store, as it represents the geographical area where the customers responsible for 80% of the store's sales actually reside, or, failing that, where 80% of its customers reside. It allows for an accurate snapshot of the customers who typically frequent the store and, by extension, of a catchment area. The Authority only considers such elements if it deems them sufficiently reliable to support its competitive analysis.</w:t>
      </w:r>
    </w:p>
    <w:p>
      <w:r>
        <w:t>27. For one of the target stores for which the parties did not have actual footprint data, the Authority resorted to an analysis based on the average actual footprint observed across all areas.</w:t>
      </w:r>
    </w:p>
    <w:p>
      <w:r>
        <w:t>III. Competitive Analysis</w:t>
      </w:r>
    </w:p>
    <w:p>
      <w:r>
        <w:t>28. The operation leads to overlaps in activities between Naturalia and the target in the upstream supply markets (A) and in the downstream market for the retail distribution of food products derived from organic agriculture (B).</w:t>
      </w:r>
    </w:p>
    <w:p>
      <w:r>
        <w:t>A. EFFECTS OF THE OPERATION ON THE UPSTREAM MARKETS FOR THE SUPPLY OF ORGANIC PRODUCTS</w:t>
      </w:r>
    </w:p>
    <w:p>
      <w:r>
        <w:t>29. In the markets for the supply of organic products, the notifying party estimates that the combined market share of the parties is less than 5%. The operation will result in a limited addition of market shares, with an increment of less than 0.5%.</w:t>
      </w:r>
    </w:p>
    <w:p>
      <w:r>
        <w:t>30. In the markets for the supply of organic products intended solely for GSS, the notifying party estimates that the combined market share of the parties is in the range of [10-20]%. The operation will result in a limited addition of market shares, with an increment in the range of [0-5]%.</w:t>
      </w:r>
    </w:p>
    <w:p>
      <w:r>
        <w:t>31. The operation is therefore not likely to significantly strengthen the purchasing power of the new entity regarding organic products, regardless of the market segmentation retained.</w:t>
      </w:r>
    </w:p>
    <w:p>
      <w:r>
        <w:t>B. EFFECTS OF THE OPERATION ON THE DOWNSTREAM MARKETS FOR THE RETAIL DISTRIBUTION OF ORGANIC PRODUCTS</w:t>
      </w:r>
    </w:p>
    <w:p>
      <w:r>
        <w:t>1. METHODOLOGY</w:t>
      </w:r>
    </w:p>
    <w:p>
      <w:r>
        <w:t>32. In order to assess whether a concentration between two distributors is likely to significantly reduce competition in a local market, the Competition Authority generally employs a method based on general principles set out in its Guidelines.</w:t>
      </w:r>
    </w:p>
    <w:p>
      <w:r>
        <w:t>33. The Authority thus primarily examines two criteria: (i) the market shares of the new entity and (ii) the degree of market concentration.</w:t>
      </w:r>
    </w:p>
    <w:p>
      <w:r>
        <w:t>34. In the areas where the parties' activities overlap, due to the concurrent presence of the target and the acquirer, the combined market shares of the new entity, assessed in terms of sales area, are calculated.</w:t>
      </w:r>
    </w:p>
    <w:p>
      <w:r>
        <w:t>35. When the market share is between 25% and 50%, the Competition Authority conducts an analysis of the local competitive structure. Beyond 50% combined market shares, the Authority presumes the existence of market power and only excludes a competition issue in the presence of credible and sufficient alternatives to the new entity in the relevant area.</w:t>
      </w:r>
    </w:p>
    <w:p>
      <w:r>
        <w:t>2. ANALYSIS OF LOCAL AREAS</w:t>
      </w:r>
    </w:p>
    <w:p>
      <w:r>
        <w:t>36. In this case, the operation results in overlaps in the distribution of organic products in 6 of the 15 areas analyzed.</w:t>
      </w:r>
    </w:p>
    <w:p>
      <w:r>
        <w:t>37. Among the 6 identified overlapping areas, one area was considered non-problematic given the combined market shares of the parties being below 25%. In the other 5 areas, the combined market shares of the parties are between 25% and 50% following the operation. In these areas, the Authority conducted a study of the local competitive structure and the degree of market concentration. The Authority considered that any serious doubt regarding harm to competition could be dismissed in areas where the number of competing groups is at least equal to 3. The application of this criterion to the 5 areas where the market share of the new entity is between 25% and 50% leads to the dismissal of any risk of harm to competition in each of these areas.</w:t>
      </w:r>
    </w:p>
    <w:p>
      <w:r>
        <w:t>38. The analysis of local areas thus leads to the dismissal of any risk of harm to competition.</w:t>
      </w:r>
    </w:p>
    <w:p>
      <w:r>
        <w:t>DECIDES</w:t>
      </w:r>
    </w:p>
    <w:p>
      <w:r>
        <w:t>Article one: The operation notified under number 21-031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