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https://www.autoritedelaconcurrence.fr/fr/decision-de-controle-des-concentrations/relative-la-prise-de-controle-exclusif-de-plusieurs-fonds</w:t>
      </w:r>
    </w:p>
    <w:p>
      <w:r>
        <w:t>Pages translated : 8</w:t>
      </w:r>
    </w:p>
    <w:p/>
    <w:p>
      <w:r>
        <w:rPr>
          <w:b/>
        </w:rPr>
        <w:t>[Pages 1–3]</w:t>
      </w:r>
    </w:p>
    <w:p>
      <w:r>
        <w:t>FRENCH REPUBLIC</w:t>
        <w:br/>
        <w:t>Decision No. 24-DCC-191 of August 27, 2024</w:t>
        <w:br/>
        <w:t>regarding the exclusive control of several hotel business assets by Covivio Hotels</w:t>
        <w:br/>
        <w:t>The Competition Authority,</w:t>
        <w:br/>
        <w:t>Having regard to the notification file submitted in full to the concentrations service on July 25, 2024, regarding the exclusive control of several hotel business assets by Covivio Hotels, formalized by a memorandum of understanding concluded on June 20, 2024;</w:t>
        <w:br/>
        <w:t>Having regard to Book IV of the Commercial Code relating to price and competition freedom, and in particular its Articles L. 430-1 to L. 430-7;</w:t>
        <w:br/>
        <w:t>Having regard to the supplementary elements provided by the notifying party during the investigation;</w:t>
        <w:br/>
        <w:t>Adopts the following decision:</w:t>
      </w:r>
    </w:p>
    <w:p>
      <w:r>
        <w:t>I. The Companies Involved and the Transaction</w:t>
        <w:br/>
        <w:t>1. Covivio Hotels SCA (hereinafter "COVH") is a listed real estate investment company, a subsidiary of Covivio SA, the parent company of the Covivio group. COVH specializes in the ownership and management of operating properties, particularly in the hotel, leisure, and restaurant sectors, in France and Europe. The Covivio group specializes in the acquisition, ownership, management, and leasing of real estate assets, primarily in the hotel, residential, and office sectors. The Covivio group also controls a company active in the parking lot sector.</w:t>
        <w:br/>
        <w:t>2. The target assets consist of 23 hotel business assets, including 18 assets located in France, grouped within the company Exhotel, and five assets located in Belgium, which, prior to the transaction, will be grouped within a company to be formed. These assets are currently indirectly held by the Luxembourg real estate investment company AccorInvest Group SA, the parent company of the AccorInvest group, through the Société de Participations Hôtelières SAS ("SPH"). SPH is 100% owned by the French company AccorInvest SAS, itself a 100% subsidiary of AccorInvest.</w:t>
        <w:br/>
        <w:t>3. The contemplated transaction, materialized by a memorandum of understanding concluded on June 20, 2024, consists of the acquisition by COVH of all the shares and voting rights of the company Exhotel and a company to be formed, which together hold 23 hotel business assets.</w:t>
        <w:br/>
        <w:t>4. It is part of a broader set of transactions between COVH and AccorInvest, within which asset transfers (mainly hotel properties and hotel business assets) are or will be carried out for the benefit of COVH, or for the benefit of AccorInvest, alone or with other companies.</w:t>
        <w:br/>
        <w:t>5. Insofar as it results in the acquisition of exclusive control of the target assets by COVH, the notified transaction constitutes a concentration within the meaning of Article L. 430-1 of the Commercial Code.</w:t>
        <w:br/>
        <w:t>6. The companies involved together achieve a total worldwide turnover excluding taxes of more than 150 million euros (Covivio group: 1 billion euros for the fiscal year ending December 31, 2023; target assets: [≥ 150 million] euros for the same fiscal year). Each of these companies achieves in France a total turnover excluding taxes exceeding 50 million euros (Covivio group: [≥ 50 million] euros for the fiscal year ending December 31, 2023; target assets: [≥ 50 million] euros for the same fiscal year). Given these turnover figures, the transaction does not have a European dimension. However, the control thresholds mentioned in I of Article L. 430-2 of the Commercial Code are exceeded. This transaction is therefore subject to the provisions of Articles L. 430-3 and following of the Commercial Code, relating to economic concentration.</w:t>
      </w:r>
    </w:p>
    <w:p>
      <w:r>
        <w:t>II. Delimitation of Relevant Markets</w:t>
        <w:br/>
        <w:t>The parties are simultaneously active in the market for the provision of hotel services in France (A). Furthermore, the Covivio group is also active in France in the real estate services markets (B).</w:t>
        <w:br/>
        <w:t>A. THE PROVISION OF HOTEL SERVICES</w:t>
        <w:br/>
        <w:t>1. SERVICE MARKETS</w:t>
        <w:br/>
        <w:t>7. In the hotel sector, decision-making practice has considered several segmentations based on price and comfort level, according to the classification of establishments, as well as their mode of operation. In this regard, it distinguishes between integrated hotel chains, voluntary chains, and independent hotels.</w:t>
        <w:br/>
        <w:t>8. Regarding the distinction of hotel establishments based on comfort level, the Authority has considered several segmentations: by star rating, grouping by pairs of stars (1-2 stars, 2-3 stars, 3-4 stars, 4-5 stars) or taking into account the immediately lower category and the immediately higher category (1-3 stars, 2-4 stars, 3-5).</w:t>
        <w:br/>
        <w:t>9. The question of the exact delimitation of service markets can, however, be left open insofar as the conclusions of the competitive analysis remain unchanged, regardless of the segmentations chosen.</w:t>
        <w:br/>
        <w:t>10. In this case, the parties are simultaneously present in the following segments:</w:t>
        <w:br/>
        <w:t>- 3-star hotels, 4-star hotels;</w:t>
        <w:br/>
        <w:t>- 2-3 star, 3-4 star, and 4-5 star hotels;</w:t>
        <w:br/>
        <w:t>- 1-3 star, and 2-4 and 3-5 star hotels;</w:t>
        <w:br/>
        <w:t>- hotels belonging to an integrated chain.</w:t>
        <w:br/>
        <w:t>2. GEOGRAPHIC MARKETS</w:t>
        <w:br/>
        <w:t>11. The hotel markets can be analyzed both at the national level, particularly for hotel chains, and at the local level, notably because the main selection criterion for the customer is the location of the establishment.</w:t>
      </w:r>
    </w:p>
    <w:p>
      <w:r>
        <w:rPr>
          <w:b/>
        </w:rPr>
        <w:t>[Pages 4–6]</w:t>
      </w:r>
    </w:p>
    <w:p>
      <w:r>
        <w:t>12. The question of the exact definition of geographic markets can, however, be left open, insofar as the conclusions of the competitive analysis remain unchanged, regardless of the delineation chosen.</w:t>
      </w:r>
    </w:p>
    <w:p>
      <w:r>
        <w:t>13. In the case at hand, the parties are simultaneously present in France where their activities overlap, at the local level, in the following areas:</w:t>
        <w:br/>
        <w:t>- for the Île-de-France region, the Covivio group operates two hotels, one in Roissy and the other in Paris, both in the 4-star category. The target assets are eight hotels in Paris, Sèvres, Nanterre, Boulogne Billancourt, and Fontainebleau, in the 3 and 4-star categories;</w:t>
        <w:br/>
        <w:t>- for the city of Paris, the Covivio group operates a 4-star hotel. The target assets are three hotels, 3 and 4 stars.</w:t>
        <w:br/>
        <w:t>- for the city of Nice, the Covivio group and the target assets each represent a 4-star hotel.</w:t>
        <w:br/>
        <w:t>- for the city of Lille, the Covivio Group operates five hotels, in the 3, 4, and 5-star categories. The target assets are two hotels in the 4-star category.</w:t>
      </w:r>
    </w:p>
    <w:p>
      <w:r>
        <w:t>B. THE MARKETS FOR REAL ESTATE SERVICES</w:t>
        <w:br/>
        <w:t>1. SERVICE MARKETS</w:t>
        <w:br/>
        <w:t>14. Decision-making practice has considered different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w:t>
      </w:r>
    </w:p>
    <w:p>
      <w:r>
        <w:t>15. Regarding the segmentation according to the nature of the services or goods offered, the Authority has considered a distinction between:</w:t>
        <w:br/>
        <w:t>- real estate development, which includes construction and sale activities of real estate;</w:t>
        <w:br/>
        <w:t>- management of real estate assets for one's own account;</w:t>
        <w:br/>
        <w:t>- management of real estate assets for third parties;</w:t>
        <w:br/>
        <w:t>- administration of real estate, which covers the management activities of buildings on behalf of owners and can be segmented between rental management and co-ownership management;</w:t>
        <w:br/>
        <w:t>- real estate appraisal;</w:t>
        <w:br/>
        <w:t>- real estate consulting;</w:t>
        <w:br/>
        <w:t>- intermediation in real estate transactions, within which a distinction can be made between the sale and rental of properties.</w:t>
      </w:r>
    </w:p>
    <w:p>
      <w:r>
        <w:t>16. Furthermore, concerning the market for real estate development, the Authority has considered distinguishing residential real estate development from real estate development for business premises.</w:t>
      </w:r>
    </w:p>
    <w:p>
      <w:r>
        <w:t>17. The question of the exact delineation of the real estate services markets concerned by the transaction can, however, be left open, insofar as the conclusions of the competitive analysis remain unchanged, regardless of the segmentation chosen.</w:t>
      </w:r>
    </w:p>
    <w:p>
      <w:r>
        <w:t>18. In this case, only the Covivio group is active in France in the following markets:</w:t>
        <w:br/>
        <w:t>- management for one's own account of real estate assets intended for businesses, and more specifically, in the following segments:</w:t>
        <w:br/>
        <w:t>(i) management for one's own account of real estate assets for hotel use;</w:t>
        <w:br/>
        <w:t>(ii) management for one's own account of assets for commercial premises; and</w:t>
        <w:br/>
        <w:t>(iii) management for one's own account of assets for office use;</w:t>
        <w:br/>
        <w:t>- real estate development intended for businesses and for individuals.</w:t>
      </w:r>
    </w:p>
    <w:p>
      <w:r>
        <w:t>2. GEOGRAPHIC MARKETS</w:t>
        <w:br/>
        <w:t>19. The markets related to the real estate sector are generally of a local dimension, particularly given the differences between regions and regional metropolitan areas in terms of prices and demand in real estate.</w:t>
      </w:r>
    </w:p>
    <w:p>
      <w:r>
        <w:t>20. For regions outside Île-de-France, the Authority conducted its competitive analyses at the regional or sub-regional level, or even at the level of agglomerations.</w:t>
      </w:r>
    </w:p>
    <w:p>
      <w:r>
        <w:t>21. The question of the exact delineation of the geographic markets for the real estate services concerned by the transaction can, however, be left open, insofar as the conclusions of the competitive analysis remain unchanged, regardless of the segmentation chosen.</w:t>
      </w:r>
    </w:p>
    <w:p>
      <w:r>
        <w:t>22. In this case, the notifying party provided the market shares of the Covivio group at the national and sub-national levels, in the areas where there is a geographic overlap with the activities of the target assets. These areas are as follows:</w:t>
        <w:br/>
        <w:t>- the following regions: Auvergne-Rhône-Alpes, Grand Est, Île-de-France, Hauts-de-France, Nouvelle-Aquitaine, Occitanie, and Provence-Alpes-Côte d’Azur;</w:t>
        <w:br/>
        <w:t>- the following departments: Alpes-Maritimes, Bas-Rhin, Gironde, Haute-Garonne, Haute-Savoie, Hauts-de-Seine, Meurthe-et-Moselle, Nord, Rhône, and Seine-et-Marne;</w:t>
        <w:br/>
        <w:t>- the following cities: Annecy, Bordeaux, Lille, Lyon, Nancy, Nanterre, Nice, Paris, Strasbourg, and Toulouse.</w:t>
      </w:r>
    </w:p>
    <w:p>
      <w:r>
        <w:t>III. Competitive Analysis</w:t>
        <w:br/>
        <w:t>23. The parties are simultaneously present in the market for the provision of hotel services: a horizontal effects analysis has therefore been conducted (A). The Covivio group is also present in the real estate services markets, which can be considered, for some of them, as having links of connectivity with the market for the provision of hotel services. A conglomerate effects analysis has thus been conducted (B).</w:t>
      </w:r>
    </w:p>
    <w:p>
      <w:r>
        <w:t>A. ANALYSIS OF HORIZONTAL EFFECTS IN THE MARKET FOR THE PROVISION OF HOTEL SERVICES</w:t>
        <w:br/>
        <w:t>1. ANALYSIS OF HORIZONTAL EFFECTS ACCORDING TO THE MODE OF OPERATION</w:t>
        <w:br/>
        <w:t>24. The market shares of the parties do not exceed [0-5]% at the national level regarding apartment hotels to integrated chains.</w:t>
      </w:r>
    </w:p>
    <w:p>
      <w:r>
        <w:t>25. At the local level, in Île-de-France as well as for the cities of Paris, Nice, Lille, Lyon, Bordeaux, and Toulouse, the cumulative market shares of the parties do not exceed 25%.</w:t>
      </w:r>
    </w:p>
    <w:p>
      <w:r>
        <w:t>26. Therefore, the transaction does not pose a risk of harm to competition in these markets examined according to the mode of operation of hotels.</w:t>
      </w:r>
    </w:p>
    <w:p>
      <w:r>
        <w:t>2. ANALYSIS OF HORIZONTAL EFFECTS ACCORDING TO COMFORT CATEGORIES</w:t>
        <w:br/>
        <w:t>27. The market shares of the parties do not exceed [0-5]% at the national level, regardless of the segment analyzed according to the comfort categories of hotels.</w:t>
      </w:r>
    </w:p>
    <w:p>
      <w:r>
        <w:t>28. At the local level, in Île-de-France as well as for the cities of Paris, Nice, Lyon, Bordeaux, and Toulouse, the cumulative market shares of the parties do not exceed 20%, regardless of the segment analyzed.</w:t>
      </w:r>
    </w:p>
    <w:p>
      <w:r>
        <w:t>29. For the city of Lille, however, the cumulative market share of the parties reaches [30-40]% in the segment of 4-star hotels and [30-40]% in the segment of 4 and 5-star hotels.</w:t>
      </w:r>
    </w:p>
    <w:p>
      <w:r>
        <w:t>30. In each of these segments, the parties will face competition from numerous hotels, most often belonging to large integrated chains. Thus, in the segment of 4-star hotels, against the 5 hotels of the parties that cumulatively have nearly [confidential] rooms, ten competing hotels (notably Mercure, Carlton, Novotel), with nearly [confidential] rooms, have been identified. Regarding the 4-5 star segment, the six hotels of the parties (nearly [confidential] rooms) face competition from twelve hotels (with nearly [confidential] rooms).</w:t>
      </w:r>
    </w:p>
    <w:p>
      <w:r>
        <w:rPr>
          <w:b/>
        </w:rPr>
        <w:t>[Pages 7–8]</w:t>
      </w:r>
    </w:p>
    <w:p>
      <w:r>
        <w:t>31. Given these elements, the transaction is not likely to harm competition through horizontal effects in the market for the provision of hotel services.</w:t>
      </w:r>
    </w:p>
    <w:p>
      <w:r>
        <w:t>B. ANALYSIS OF CONGLOMERATE EFFECTS BETWEEN THE MARKET FOR THE PROVISION OF HOTEL SERVICES AND THE MARKET FOR REAL ESTATE SERVICES</w:t>
      </w:r>
    </w:p>
    <w:p>
      <w:r>
        <w:t>32. A concentration is likely to have conglomerate effects when the new entity expands or strengthens its presence in markets that are related to other markets in which it holds market power. Certain conglomerate concentrations can indeed produce restrictive effects on competition when they allow for the technical or commercial tying of the sales of the new entity's products in a way that locks the market and excludes competitors. However, it is unlikely that a concentration will pose a risk of conglomerate effect if the new entity does not have a strong position in a market from which it can leverage.</w:t>
      </w:r>
    </w:p>
    <w:p>
      <w:r>
        <w:t>33. Decision-making practice generally considers that a risk of conglomerate effect can be ruled out as long as the market share of the entity resulting from the transaction in a relevant market does not exceed 30%.</w:t>
      </w:r>
    </w:p>
    <w:p>
      <w:r>
        <w:t>34. In this case, only the notifying party is present in the segment of self-managed real estate assets for businesses, in which it holds a market share of less than 10%. It is also present in the segment of self-managed real estate assets for hotel use, in which it holds a market share of less than 20%, and in the segment of real estate development, in which it holds a market share of less than 10%.</w:t>
      </w:r>
    </w:p>
    <w:p>
      <w:r>
        <w:t>35. Therefore, any risk of harm to competition resulting from possible conglomerate effects between the market for the provision of hotel services and the market for real estate services can be ruled out in this case since the new entity will have market shares of less than 25% in the local hotel services markets, except for the municipality of Lille.</w:t>
      </w:r>
    </w:p>
    <w:p>
      <w:r>
        <w:t>36. The risk of conglomerate effects in the Lille market can, however, be ruled out in this case as the market share of the new entity does not confer it market power, and consequently leverage, to implement such a strategy profitably (see point 30 of this decision).</w:t>
      </w:r>
    </w:p>
    <w:p>
      <w:r>
        <w:t>37. Therefore, it follows from all the preceding elements that the transaction is not likely to harm competition in the relevant markets.</w:t>
      </w:r>
    </w:p>
    <w:p>
      <w:r>
        <w:t>DECIDES</w:t>
      </w:r>
    </w:p>
    <w:p>
      <w:r>
        <w:t>Sole Article: The transaction notified under number 24-142 is authorized.</w:t>
      </w:r>
    </w:p>
    <w:p>
      <w: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