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https://www.autoritedelaconcurrence.fr/fr/decision-de-controle-des-concentrations/relative-la-prise-de-controle-exclusif-de-plusieurs</w:t>
      </w:r>
    </w:p>
    <w:p>
      <w:r>
        <w:t>Pages translated : 4</w:t>
      </w:r>
    </w:p>
    <w:p/>
    <w:p>
      <w:r>
        <w:rPr>
          <w:b/>
        </w:rPr>
        <w:t>[Pages 1–3]</w:t>
      </w:r>
    </w:p>
    <w:p>
      <w:r>
        <w:t xml:space="preserve">FRENCH REPUBLIC  </w:t>
        <w:br/>
        <w:t xml:space="preserve">Decision No. 13-DCC-19 of February 18, 2013  </w:t>
        <w:br/>
        <w:t>regarding the exclusive control of several companies in the Urbania group by Citya Immobilier</w:t>
      </w:r>
    </w:p>
    <w:p>
      <w:r>
        <w:t xml:space="preserve">The Competition Authority,  </w:t>
        <w:br/>
        <w:t xml:space="preserve">Having regard to the notification file submitted in full to the concentrations service on January 18, 2013, regarding the exclusive control of several companies in the Urbania group by Citya Immobilier formalized by a framework protocol signed on January 2, 2013;  </w:t>
        <w:br/>
        <w:t xml:space="preserve">Having regard to Book IV of the Commercial Code relating to price freedom and competition, and in particular Articles L. 430-1 to L. 430-7;  </w:t>
        <w:br/>
        <w:t xml:space="preserve">Having regard to the supplementary elements transmitted by the parties during the investigation;  </w:t>
        <w:br/>
        <w:t>Adopts the following decision:</w:t>
      </w:r>
    </w:p>
    <w:p>
      <w:r>
        <w:t xml:space="preserve">I. The concerned companies and the operation  </w:t>
        <w:br/>
        <w:t xml:space="preserve">1. Citya Immobilier (hereinafter "Citya") is a company active in real estate services for individuals. It is 100% owned by an Arche company, which is 100% owned by the founder of the group, Mr. [X]. He holds, directly or indirectly, stakes in insurance brokerage companies, IT services, land search, and real estate civil companies. Citya operates exclusively in the four sectors that constitute property management in the broad sense, namely the management of residential co-ownerships, rental management, brokerage in the sale and rental of residential housing.  </w:t>
        <w:br/>
        <w:t xml:space="preserve">2. The various target companies are sold by the Urbania-Adyal group, which provides property management services and other real estate services for individuals and businesses. These are 19 companies operating property management firms offering the same services as those provided by the Citya group.  </w:t>
        <w:br/>
        <w:t>3. The operation, formalized by a framework protocol signed on January 2, 2013, consists of Citya's acquisition of these 19 companies. Fifteen other companies from the Urbania-Ardyal group have already been acquired by Citya during the year 2012, but the concerned operations did not meet the conditions mentioned in I of Article L. 430-2 of the Commercial Code.</w:t>
      </w:r>
    </w:p>
    <w:p>
      <w:r>
        <w:t xml:space="preserve">However, in accordance with Article 5, paragraph 2, second subparagraph, of Regulation No. 139/2004, to which Article L. 430-2 of the Commercial Code refers, which provides that "two or more transactions within the meaning of the first subparagraph that have taken place over a period of two years between the same persons or undertakings shall be considered as a single concentration occurring on the date of the last transaction," it is appropriate to consider that the acquisition of these nineteen companies and that of the fifteen companies that took place in 2012 constitute a single operation.  </w:t>
        <w:br/>
        <w:t>4. The companies concerned together achieve a total worldwide turnover of more than 150 million euros (Citya: [...] euros for 2011; target: [...] euros). At least two of these companies achieve in France a turnover exceeding 50 million euros, the turnovers mentioned above being entirely realized in France. Given these turnovers, the operation does not have a community dimension. On the other hand, the control thresholds mentioned in I of Article L. 430-2 of the Commercial Code are exceeded. This operation is therefore subject to the provisions of Articles L. 430-3 and following of the Commercial Code relating to economic concentration.</w:t>
      </w:r>
    </w:p>
    <w:p>
      <w:r>
        <w:t xml:space="preserve">II. Delimitation of relevant markets  </w:t>
        <w:br/>
        <w:t xml:space="preserve">5. The parties are simultaneously active in the four sectors of property management, and consequently, in real estate services for individuals.  </w:t>
        <w:br/>
        <w:t xml:space="preserve">A. SERVICE MARKETS  </w:t>
        <w:br/>
        <w:t xml:space="preserve">6. The decision-making practice has considered, while leaving the question open, different segmentations in the real estate sector according to (i) the recipients of the services (individuals or businesses), (ii) the pricing method (free residential real estate, social housing or assisted intermediate housing), (iii) the type of activity carried out in the premises (offices, commercial premises, and other activity premises such as warehouses, hotels), and (iv) the nature of the services or goods offered.  </w:t>
        <w:br/>
        <w:t xml:space="preserve">7. For this last segmentation, the distinction has been considered between:  </w:t>
        <w:br/>
        <w:t xml:space="preserve">- real estate development which includes construction and sale activities of real estate;  </w:t>
        <w:br/>
        <w:t xml:space="preserve">- management of real estate assets for one's own account;  </w:t>
        <w:br/>
        <w:t xml:space="preserve">- management of real estate assets on behalf of third parties (institutional investors, primarily banks and insurance companies);  </w:t>
        <w:br/>
        <w:t xml:space="preserve">- the administration of real estate properties which covers the activities of managing buildings on behalf of owners and can be segmented between rental management and co-ownership management;  </w:t>
        <w:br/>
        <w:t xml:space="preserve">- real estate appraisal;  </w:t>
        <w:br/>
        <w:t xml:space="preserve">- real estate consulting;  </w:t>
        <w:br/>
        <w:t>- brokerage in real estate transactions for which brokerage in purchase/sale operations is distinguished from brokerage in rental operations.</w:t>
      </w:r>
    </w:p>
    <w:p>
      <w:r>
        <w:t xml:space="preserve">8. The question of the exact delineation of markets in the real estate sector can, however, be left open insofar as the conclusions of the analysis would remain unchanged regardless of the solutions retained.  </w:t>
        <w:br/>
        <w:t xml:space="preserve">9. In this case, the parties are simultaneously present in the markets (a) for the management of residential co-ownerships, (b) for the rental management of residential housing, (c) for brokerage in the sale of residential housing, (d) for brokerage in the rental of residential housing.  </w:t>
        <w:br/>
        <w:t xml:space="preserve">B. GEOGRAPHICAL MARKETS  </w:t>
        <w:br/>
        <w:t xml:space="preserve">10. The decision-making practice has considered that the markets related to the real estate sector are generally of infranational dimension, while leaving the question open. It has also considered a delimitation at the national level for the markets of real estate services intended for businesses when investment operations are carried out by large investors. Regarding Île-de-France, the decision-making practice has noted that "the Paris region has particular properties of continuity of urban areas. Indeed, there is a vast, highly urbanized, and homogeneous area covering most of Île-de-France, served by a global transport network; residents are always able to arbitrate between different parts of the region. This substitutability leads to a convergence at the price level. Therefore, the regional level is the most appropriate for competitive analysis."  </w:t>
        <w:br/>
        <w:t xml:space="preserve">11. In any case, the question of the exact delineation of geographical markets in the real estate sector will be left open as the conclusions of the competitive analysis would remain unchanged regardless of the solutions retained.  </w:t>
        <w:br/>
        <w:t>12. In this case, the analysis will be conducted at both the national and local levels.</w:t>
      </w:r>
    </w:p>
    <w:p>
      <w:r>
        <w:rPr>
          <w:b/>
        </w:rPr>
        <w:t>[Pages 4–4]</w:t>
      </w:r>
    </w:p>
    <w:p>
      <w:r>
        <w:t xml:space="preserve">III. Competitive Analysis  </w:t>
        <w:br/>
        <w:t xml:space="preserve">13. At the national level, the market share of the new entity will be less than [5-10]% in the markets of rental management and co-ownership management and less than [0-5]% in the markets of brokerage in the sale and rental of residential housing.  </w:t>
        <w:br/>
        <w:t xml:space="preserve">14. At the local level, the parties are simultaneously active in the areas of Paris, Marseille, Lyon, Lille, Bordeaux, Montpellier, Nice, Toulouse, Nantes, Dijon-Côte d’Or, Aix-en-Provence, Tours, Orléans, Rouen, as well as in Haute Savoie.  </w:t>
        <w:br/>
        <w:t xml:space="preserve">15. Across all these areas, the market share of the new entity will be at most [5-10]% in the markets of brokerage in the sale and rental of residential housing. In the markets of rental management and co-ownership management, the combined market share of the parties will be less than [5-10]% in 6 areas, [10-20]% in 8 areas, and [20-30]% in the Tours area (in terms of rental management only).  </w:t>
        <w:br/>
        <w:t xml:space="preserve">16. Citya is the 3rd player in these markets behind Foncia and Nexity, to which are added, at the regional level, significant multi-regional operators such as Akerys, Tagerim, Gestion Immobilière, Oralia, Sergic, Loiselet &amp; Daigremont. The sector also includes many small operators. Thus, in Tours, there are 135 companies classified under NAF code 6832 A (Property Administrators).  </w:t>
        <w:br/>
        <w:t xml:space="preserve">17. It follows from the above that the operation is not likely to harm competition in the relevant markets.  </w:t>
        <w:br/>
        <w:t xml:space="preserve">DECIDES  </w:t>
        <w:br/>
        <w:t xml:space="preserve">Sole Article: The operation notified under number 13-028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