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https://www.autoritedelaconcurrence.fr/fr/decision-de-controle-des-concentrations/relative-la-prise-de-controle-exclusif-de-prezioso</w:t>
      </w:r>
    </w:p>
    <w:p>
      <w:r>
        <w:t>Pages translated : 4</w:t>
      </w:r>
    </w:p>
    <w:p/>
    <w:p>
      <w:r>
        <w:rPr>
          <w:b/>
        </w:rPr>
        <w:t>[Pages 1–3]</w:t>
      </w:r>
    </w:p>
    <w:p>
      <w:r>
        <w:t xml:space="preserve">FRENCH REPUBLIC  </w:t>
        <w:br/>
        <w:t xml:space="preserve">Decision No. 16-DCC-64 of April 28, 2016  </w:t>
        <w:br/>
        <w:t xml:space="preserve">regarding the exclusive control of Prezioso Linjebygg Group  </w:t>
        <w:br/>
        <w:t xml:space="preserve">by Altrad  </w:t>
        <w:br/>
        <w:t xml:space="preserve">The Competition Authority,  </w:t>
        <w:br/>
        <w:t xml:space="preserve">Having regard to the notification file submitted in full to the merger service on April 4, 2016,  </w:t>
        <w:br/>
        <w:t xml:space="preserve">regarding the exclusive control of Prezioso Linjebygg Group by Altrad Investment Authority, formalized by a purchase promise dated March 15, 2016, as well as a draft acquisition contract for shares;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Altrad Investment Authority is the company at the head of the Altrad group (hereinafter, "Altrad"). Altrad sells and rents equipment for construction and industry (craftsmen, professionals, and local authorities). The group is particularly active in the scaffolding sector as a supplier of scaffolding and assembly and disassembly service providers.  </w:t>
        <w:br/>
        <w:t xml:space="preserve">2. Prezioso Linjebygg Group is a simplified joint-stock company under French law at the head of the Prezioso group (hereinafter, "Prezioso"). Prezioso specializes in industrial maintenance services and carries out coating work (surface preparation and coating of concrete and steel structures) of all types (anti-corrosion, waterproofing, special coatings, fireproof coatings, and metallization).  </w:t>
        <w:br/>
        <w:t>3. Under a memorandum of understanding dated March 15, 2016, Altrad will acquire almost all of the shares of Prezioso. Less than 10% of the shares will be held by employees and the management of Prezioso, who are not in a position to exert decisive influence in the absence of veto rights over its strategic decisions.</w:t>
      </w:r>
    </w:p>
    <w:p>
      <w:r>
        <w:t xml:space="preserve">4. In that it results in the exclusive control of Prezioso by Altrad, this operation constitutes a concentration within the meaning of Article L. 430-1 of the Commercial Code.  </w:t>
        <w:br/>
        <w:t xml:space="preserve">5. The companies concerned have together achieved a consolidated worldwide turnover of more than 150 million euros in the last closed financial year (Altrad: [...] euros for the financial year ended August 31, 2015; Prezioso: [...] euros for the financial year ended December 31, 2015). Each of these companies has achieved a turnover exceeding 50 million euros in France (Altrad: [...] euros for the financial year ended August 31, 2015; Prezioso: [...] euros for the financial year ended December 31, 2015).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6. The parties to the operation are simultaneously present in the downstream markets for scaffolding rental and assembly. Altrad is also active in the upstream market for the supply of scaffolding.  </w:t>
        <w:br/>
        <w:t xml:space="preserve">A. THE PRODUCT MARKETS  </w:t>
        <w:br/>
        <w:t xml:space="preserve">7. Within the scaffolding sector, the decisional practice has considered distinguishing the upstream activity of scaffolding supply from the downstream services of scaffolding rental and assembly.  </w:t>
        <w:br/>
        <w:t xml:space="preserve">1. THE UPSTREAM MARKET FOR SCAFFOLDING SUPPLY  </w:t>
        <w:br/>
        <w:t xml:space="preserve">8. The upstream market for scaffolding supply includes the activities of selling and simply renting scaffolding, that is to say, without assembly (and disassembly) services, on which various companies that subsequently offer downstream clients scaffolding rental and assembly services rely. The scaffolding supply market also ensures the supply of companies carrying out work that does not require the assembly of complex scaffolding.  </w:t>
        <w:br/>
        <w:t xml:space="preserve">2. THE DOWNSTREAM MARKETS FOR SCAFFOLDING RENTAL AND ASSEMBLY  </w:t>
        <w:br/>
        <w:t xml:space="preserve">9. The notifying party notes that the downstream services of scaffolding rental and assembly are aimed at companies that need specialized actors capable of offering scaffolding specific to their request and ensuring sophisticated assemblies.  </w:t>
        <w:br/>
        <w:t xml:space="preserve">10. A segmentation of the downstream market for scaffolding rental and assembly services was considered according to the sector of activity of the concerned clients, namely industry or construction. Indeed, the rental and assembly market for the industry is organized based on framework contracts with durations ranging from a few months to several years, through which specialized companies in this sector rent and install complex sets of multidirectional scaffolding for a clientele of major contractors. These differ from facade scaffolding, used in the construction sector, by their technical characteristics, the regulatory constraints of reception and certification to which they are subject, and the specialized assembly engineering they require.  </w:t>
        <w:br/>
        <w:t xml:space="preserve">11. The question of the exact delimitation of the downstream markets for scaffolding rental and assembly can, however, be left open, as the conclusions of the competitive analysis remain unchanged regardless of the hypothesis retained.  </w:t>
        <w:br/>
        <w:t xml:space="preserve">B. THE GEOGRAPHICAL MARKETS  </w:t>
        <w:br/>
        <w:t xml:space="preserve">12. The decisional practice has considered a national dimension for the various upstream and downstream scaffolding markets, without excluding the existence of regional markets delineated by areas of 400 kilometers in diameter around the locations of scaffolding suppliers. In this case, the competitive analysis of the operation will retain a national delimitation of the scaffolding markets as the market shares of the parties do not vary according to the studied areas.  </w:t>
        <w:br/>
        <w:t xml:space="preserve">13. The question of the exact delimitation of the geographical markets concerned can, however, be left open, as the conclusions of the competitive analysis remain unchanged regardless of the hypothesis retained.  </w:t>
        <w:br/>
        <w:t xml:space="preserve">III. Competitive analysis  </w:t>
        <w:br/>
        <w:t xml:space="preserve">A. ANALYSIS OF HORIZONTAL EFFECTS  </w:t>
        <w:br/>
        <w:t xml:space="preserve">14. Altrad and Prezioso are simultaneously present in the downstream markets for scaffolding rental and assembly aimed at the industry.  </w:t>
        <w:br/>
        <w:t xml:space="preserve">15. In the overall market for scaffolding rental and assembly, encompassing the industrial and construction sectors, the new entity will hold an estimated market share of [10-20]%. It will remain subject to competition notably from the Kaefer Wanner group ([10-20]%), Brand ([5-10]%), Polinord ([0-5]%), or Soprovise ([0-5]%).  </w:t>
        <w:br/>
        <w:t xml:space="preserve">16. In the market for scaffolding rental and assembly aimed at the industry, the new entity will have an estimated market share of [10-20]%, with an increment of 6.3 points. It will remain subject to competition notably from the Kaefer Wanner group ([10-20]%), Polinord ([5-10]%), Brand ([5-10]%), or Soprovise ([0-5]%).  </w:t>
        <w:br/>
        <w:t>17. Given the above, the operation is not likely to harm competition in the downstream markets for scaffolding rental and assembly.</w:t>
      </w:r>
    </w:p>
    <w:p>
      <w:r>
        <w:rPr>
          <w:b/>
        </w:rPr>
        <w:t>[Pages 4–4]</w:t>
      </w:r>
    </w:p>
    <w:p>
      <w:r>
        <w:t xml:space="preserve">B. ANALYSIS OF VERTICAL EFFECTS  </w:t>
        <w:br/>
        <w:t xml:space="preserve">18.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The decision-making practice of competition authorities generally dismisses these lock-in risks when the market share of the company resulting from the operation in the concerned markets does not exceed 30%.  </w:t>
        <w:br/>
        <w:t xml:space="preserve">19. In this case, Altrad supplies scaffolding upstream, notably to companies that offer rental and assembly services downstream. It is therefore necessary to examine the risk of a lock-in of the upstream and downstream markets for scaffolding rental and assembly.  </w:t>
        <w:br/>
        <w:t xml:space="preserve">20. In the upstream market for scaffolding supply, only Altrad is active with an estimated market share of [20-30]%. It faces competition from the Comabi group ([20-30]%), Layher ([10-20]%), Entrepose Echafaudages ([5-10]%), and Brand ([0-5]%). Furthermore, the position of the new entity will be below 20% in the downstream markets for scaffolding rental and assembly.  </w:t>
        <w:br/>
        <w:t xml:space="preserve">21. Given the above, the operation is not likely to harm competition in the upstream and downstream markets for scaffolding rental and assembly through vertical effects.  </w:t>
        <w:br/>
        <w:t xml:space="preserve">DECIDES  </w:t>
        <w:br/>
        <w:t xml:space="preserve">Sole Article: The operation notified under number 16-050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