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https://www.autoritedelaconcurrence.fr/fr/decision-de-controle-des-concentrations/relative-la-prise-de-controle-exclusif-de-primonial</w:t>
      </w:r>
    </w:p>
    <w:p>
      <w:r>
        <w:t>Pages translated : 10</w:t>
      </w:r>
    </w:p>
    <w:p/>
    <w:p>
      <w:r>
        <w:rPr>
          <w:b/>
        </w:rPr>
        <w:t>[Pages 1–3]</w:t>
      </w:r>
    </w:p>
    <w:p>
      <w:r>
        <w:t>FRENCH REPUBLIC</w:t>
        <w:br/>
        <w:t>Decision No. 24-DCC-122 of June 10, 2024</w:t>
        <w:br/>
        <w:t>regarding the exclusive control of Primonial Ingénierie Développement by Crystal</w:t>
        <w:br/>
        <w:t>The Competition Authority,</w:t>
        <w:br/>
        <w:t>Having regard to the notification file submitted in full to the merger service on May 7, 2024, regarding the exclusive control of Primonial Ingénierie and Développement by Crystal, formalized by a purchase promise dated February 2, 2024;</w:t>
        <w:br/>
        <w:t>Having regard to Book IV of the Commercial Code relating to the freedom of prices and competition, and in particular its Articles L. 430-1 to L. 430-7;</w:t>
        <w:br/>
        <w:t>Having regard to the additional elements transmitted by the notifying party during the investigation;</w:t>
        <w:br/>
        <w:t>Having regard to the other documents in the file;</w:t>
        <w:br/>
        <w:t>Adopts the following decision:</w:t>
      </w:r>
    </w:p>
    <w:p>
      <w:r>
        <w:t>SUMMARY</w:t>
        <w:br/>
        <w:t>I. THE COMPANIES CONCERNED AND THE OPERATION .............. 3</w:t>
        <w:br/>
        <w:t>II. DELINEATION OF RELEVANT MARKETS ........................... 4</w:t>
        <w:br/>
        <w:t>A. INTERMEDIATION MARKET FOR THE PROVISION OF INVESTMENT PRODUCTS FOR WEALTH MANAGEMENT ADVISORS</w:t>
        <w:br/>
        <w:t>4</w:t>
        <w:br/>
        <w:t>1. PRODUCT MARKETS ............................................................................................4</w:t>
        <w:br/>
        <w:t>2. GEOGRAPHIC MARKET .........................................................................................5</w:t>
        <w:br/>
        <w:t>B. WEALTH MANAGEMENT CONSULTING MARKET ...................................6</w:t>
        <w:br/>
        <w:t>1. PRODUCT MARKETS ............................................................................................6</w:t>
        <w:br/>
        <w:t>2. GEOGRAPHIC MARKETS .....................................................................................7</w:t>
        <w:br/>
        <w:t>III. COMPETITIVE ANALYSIS ................................................................. 7</w:t>
        <w:br/>
        <w:t>A. ANALYSIS OF HORIZONTAL EFFECTS ...............................................................7</w:t>
        <w:br/>
        <w:t>1. THE MARKET FOR INTERMEDIATION FOR THE PROVISION OF INVESTMENT PRODUCTS FOR WEALTH MANAGEMENT ADVISORS .....................................................8</w:t>
        <w:br/>
        <w:t>2. THE WEALTH MANAGEMENT CONSULTING MARKET ..........................................8</w:t>
        <w:br/>
        <w:t>B. ANALYSIS OF VERTICAL EFFECTS ......................................................................9</w:t>
        <w:br/>
        <w:t>DECISION ..................................................................................................... 10</w:t>
      </w:r>
    </w:p>
    <w:p>
      <w:r>
        <w:t>I. The Companies Concerned and the Operation</w:t>
        <w:br/>
        <w:t>The company Crystal is primarily active in the wealth management sector in France. It offers wealth management advisory services to end clients and operates three intermediation platforms providing investment products to wealth management advisors. It is controlled by the company Seven2 and owned by several professional private equity funds, managed and advised by Seven2. The latter is primarily active, through the funds it manages, in the sectors of technology and telecommunications, consumer goods, health, and services.</w:t>
        <w:br/>
        <w:t>The Primonial Ingénierie et Développement group ("PID") is active in the wealth management sector. PID offers services aimed at end clients, notably through the company Primonial Gestion Privée, as well as services aimed at wealth management advisors through two intermediation platforms. The parent company of the Primonial group is Primonial Holding, jointly owned by Bridgepoint, Latour Capital, Sogécap, and management.</w:t>
        <w:br/>
        <w:t>The contemplated operation, formalized by a purchase promise dated February 2, 2024, consists of the acquisition of all the capital and voting rights of PID by Crystal. As it results in the exclusive control of PID by Crystal, the notified operation constitutes a concentration operation within the meaning of Article L. 430-1 of the Commercial Code.</w:t>
        <w:br/>
        <w:t>The companies concerned together generate a total worldwide turnover of more than 150 million euros (Seven2: [≥150 million] euros for the fiscal year ending December 31, 2022; PID [≥150] million euros for the fiscal year ending December 31, 2022) and both generate a turnover in France exceeding 50 million euros (Seven2: [≥50 million] euros for the fiscal year ending December 31, 2022; PID [≥50] million euros for the fiscal year ending December 31, 2022).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br/>
        <w:t>1 The Crystal group has recently also acquired two companies active in the sector: RDFI Conseil and Opti Finance. The consideration of these acquisitions does not alter the competitive analysis.</w:t>
      </w:r>
    </w:p>
    <w:p>
      <w:r>
        <w:rPr>
          <w:b/>
        </w:rPr>
        <w:t>[Pages 4–6]</w:t>
      </w:r>
    </w:p>
    <w:p>
      <w:r>
        <w:t xml:space="preserve">II. Delimitation of Relevant Markets  </w:t>
        <w:br/>
        <w:t xml:space="preserve">The target companies are simultaneously active in the wealth management sector in France.  </w:t>
        <w:br/>
        <w:t>In view of its decision-making practice and the investigation conducted in the context of the present operation, the Authority considers that the analysis can be conducted, in this specific case, on the market for intermediation for the provision of investment products for wealth management advisors (A) and on the market for wealth management advisory services (B).</w:t>
      </w:r>
    </w:p>
    <w:p>
      <w:r>
        <w:t xml:space="preserve">A. MARKET FOR INTERMEDIATION FOR THE PROVISION OF INVESTMENT PRODUCTS FOR WEALTH MANAGEMENT ADVISORS  </w:t>
        <w:br/>
        <w:t>The activity of the parties notably consists of operating intermediation platforms between providers of investment products (asset managers, insurers, real estate sector players) and wealth management advisors ("CGP"). The Authority has therefore questioned, for the purposes of this case, the existence of a potential market for intermediation for the provision of investment products for CGPs distinct from a broader market for the supply of CGP products.</w:t>
      </w:r>
    </w:p>
    <w:p>
      <w:r>
        <w:t xml:space="preserve">1. PRODUCT MARKETS  </w:t>
        <w:br/>
        <w:t xml:space="preserve">The Authority has never been called upon to rule, in the context of the concentration control it exercises, on the existence of a potential market for intermediation for the provision of investment products for wealth management advisors ("CGP").  </w:t>
        <w:br/>
        <w:t xml:space="preserve">The notifying party argues for the existence of a market for intermediation for the provision of investment products for CGPs. It points out that the investment products offered by CGPs to their clients (see below) are generally created not by the CGPs themselves, but by asset managers, banking or insurance groups, and real estate groups, from which CGPs source their products. The notifying party notes that while CGPs traditionally source directly from the provider, requiring, on the part of the CGP, a "back-office" and a "middle-office" to manage orders with providers and the relationship with the client, platforms, such as those of the parties, have been created in recent years to act as intermediaries between the investment product provider and the CGP, thus constituting an indirect source of supply. The products are offered to CGPs through an intermediation platform that they access online. The notifying party further specifies that some platforms are independent and offer investment products from various providers, while others are referred to as "proprietary," meaning managed by a banking or insurance group.  </w:t>
        <w:br/>
        <w:t>It emerges from the investigation conducted in the context of this case, during which the Authority carried out a market test with operators in the wealth management advisory sector, that it is relevant to consider, for the purposes of this case, the existence of a market for intermediation for the provision of investment products for CGPs.</w:t>
      </w:r>
    </w:p>
    <w:p>
      <w:r>
        <w:t xml:space="preserve">First, a majority of respondents to the market test consider, like the notifying party, it pertinent to segment the market for the supply of CGP products between direct and indirect supply. Indeed, while the service provided to the end consumer by a CGP does not differ regardless of the source of supply of the CGP, there is a difference for the CGP, which has centralized support from the platform in the case of indirect supply, and support from each of the asset providers in the case of direct supply.  </w:t>
        <w:br/>
        <w:t xml:space="preserve">These two different distribution modalities (B2B2C/B2C) meet different expectations from CGPs, with the intermediation platform providing services to CGPs that allow them to outsource part of their activities, such as training services, regulatory monitoring, and information transmission services between the provider and the CGP.  </w:t>
        <w:br/>
        <w:t xml:space="preserve">Moreover, it emerges from both the market test and the elements provided by the notifying party that these platforms operate on a largely shared remuneration model, namely based on subscription fees and commissions.  </w:t>
        <w:br/>
        <w:t xml:space="preserve">Furthermore, the Authority has considered making a distinction between proprietary and independent platforms. Proprietary platforms may, for some, limit themselves to offering investment products that they develop themselves, while independent platforms aim to compete the investment products offered by various providers.  </w:t>
        <w:br/>
        <w:t xml:space="preserve">The Authority notes that some responses to the market test tend to highlight a certain specificity of proprietary platforms compared to independent platforms. The majority of respondents to the market test indeed believe that the two types of platforms can be distinguished based on the diversity of products offered (banking, insurance, real estate, structured products) as some proprietary platforms only offer one type of product.  </w:t>
        <w:br/>
        <w:t xml:space="preserve">In the context of the present operation, the question of a precise segmentation of intermediation platforms based on whether they are independent or proprietary may remain open, with the conclusions of the competitive analysis remaining unchanged.  </w:t>
        <w:br/>
        <w:t xml:space="preserve">Finally, it emerges from the market test that an additional segmentation within the market for intermediation for the provision of investment products for CGPs based on the assets managed by the platforms is not relevant since the assets managed do not impact the advice and service provided by the platform.  </w:t>
        <w:br/>
        <w:t>It follows from the above that the analysis can be conducted, for the purposes of this case, on a market for intermediation for the provision of investment products for CGPs, possibly segmented between proprietary platforms and independent platforms.</w:t>
      </w:r>
    </w:p>
    <w:p>
      <w:r>
        <w:t xml:space="preserve">2. GEOGRAPHIC MARKET  </w:t>
        <w:br/>
        <w:t>Regarding the geographic delimitation of the market for intermediation for the provision of investment products for CGPs, it emerges from both the indications of the notifying party and the market test that a national dimension should be retained since clients reside in French territory and the vast majority of products offered by the platforms to CGPs are subject to the requirements of French legislation and regulation.</w:t>
      </w:r>
    </w:p>
    <w:p>
      <w:r>
        <w:t>The effects of the operation will be analyzed, for the purposes of this case, at the national level.</w:t>
      </w:r>
    </w:p>
    <w:p>
      <w:r>
        <w:t xml:space="preserve">B. WEALTH MANAGEMENT CONSULTING MARKET  </w:t>
        <w:br/>
        <w:t xml:space="preserve">1. PRODUCT MARKETS  </w:t>
        <w:br/>
        <w:t xml:space="preserve">National decision-making practice has identified a private banking market within the retail banking market, offering "high-end financial services" aimed at wealthy individuals seeking financial and tax advice as well as personalized portfolio management.  </w:t>
        <w:br/>
        <w:t xml:space="preserve">Furthermore, the European Commission has identified a wealth management market, comprising "services that generally include investment advice, financial planning, tax planning, estate planning, and other related services. Wealth management is targeted at affluent, HNW (High Net-Worth) and UHNW (Ultra High Net-Worth) individuals who have significant assets and complex financial needs. The Commission has previously considered that the wealth management advisory market is distinct from the asset management market and the market for the provision of other banking products." The Commission has considered, following a market test, additional segmentations within the wealth management advisory market based on the net worth of clients, while leaving the definition of the market open.  </w:t>
        <w:br/>
        <w:t>The Authority notes that there is a wealth management advisory market distinct from other banking activities, connecting wealth management advisors and the end client. Wealth management advisors can either be independent and free to offer the products they wish to consumers, or be employees of a banking or insurance group and thus prioritize or exclusively offer the products of their group. However, aside from the remuneration modalities that may vary, there do not seem to be fundamental differences between these two categories. Independent CGPs compete with the "private banking" divisions of retail banking networks (employing salaried CGPs) in their wealth management advisory activities since the products, targeted clients, and regulatory constraints.</w:t>
      </w:r>
    </w:p>
    <w:p>
      <w:r>
        <w:rPr>
          <w:b/>
        </w:rPr>
        <w:t>[Pages 7–9]</w:t>
      </w:r>
    </w:p>
    <w:p>
      <w:r>
        <w:t>are generally the same. For the purposes of the analysis, however, the question of the exact definition of the wealth management advisory market may be left open, as the conclusions of the competitive analysis remain unchanged regardless of the segmentation considered.</w:t>
      </w:r>
    </w:p>
    <w:p>
      <w:r>
        <w:t>It follows from the above that the analysis can be conducted on the wealth management advisory market, possibly segmented between independent wealth management advisors and employed wealth management advisors.</w:t>
      </w:r>
    </w:p>
    <w:p>
      <w:r>
        <w:t>2. GEOGRAPHIC MARKETS</w:t>
      </w:r>
    </w:p>
    <w:p>
      <w:r>
        <w:t>Regarding the geographic delimitation of the wealth management advisory market, both national and European decision-making practice has retained a national dimension. In its aforementioned decision UBS/Credit Suisse, the European Commission left open the question of a European or even global delimitation of this market.</w:t>
      </w:r>
    </w:p>
    <w:p>
      <w:r>
        <w:t>The notifying party also argues that the wealth management advisory market should be analyzed at the national level. The Authority notes that both the wealth management advisors and their clients are French and that the products offered are subject to the requirements of French legislation and regulation.</w:t>
      </w:r>
    </w:p>
    <w:p>
      <w:r>
        <w:t>It follows from the above that the effects of the operation will be analyzed at the national level.</w:t>
      </w:r>
    </w:p>
    <w:p>
      <w:r>
        <w:t>III. Competitive Analysis</w:t>
      </w:r>
    </w:p>
    <w:p>
      <w:r>
        <w:t>A. ANALYSIS OF HORIZONTAL EFFECTS</w:t>
      </w:r>
    </w:p>
    <w:p>
      <w:r>
        <w:t>A risk of harm to competition may be observed when a concentration confers market power to the new entity or strengthens market power that one of the parties held prior to the operation, that is to say, when the operation grants the new entity the power to impede the maintenance of effective competition in the relevant market by providing it with the ability to engage in independent behavior to a significant extent with respect to its competitors and its clients. The new entity would thus be able to significantly increase its prices, reduce the diversity of products or services available in the market, or its pace of innovation.</w:t>
      </w:r>
    </w:p>
    <w:p>
      <w:r>
        <w:t>In order to analyze the existence of market power, the Authority may notably take into account the following elements: the market share of the parties and the degree of market concentration following the operation, the competitive pressure that current competitors as well as potential new entrants can exert, and the purchasing power of clients.</w:t>
      </w:r>
    </w:p>
    <w:p>
      <w:r>
        <w:t>Wealth management advisors are regulated by the Prudential Control and Resolution Authority under the regime of the Organization for the Unique Register of Insurance Intermediaries ("ORIAS"). The same applies to private banks when they carry out insurance brokerage operations.</w:t>
      </w:r>
    </w:p>
    <w:p>
      <w:r>
        <w:t>Decision-making practice holds that when the market share of the new entity is below 25%, it is presumed that the operation does not harm competition through unilateral effects.</w:t>
      </w:r>
    </w:p>
    <w:p>
      <w:r>
        <w:t>Given the activities of the parties, the operation leads to overlaps in activity between Crystal and PID in the market for intermediation for the provision of investment products for wealth management advisors (1) and in the wealth management advisory market (2).</w:t>
      </w:r>
    </w:p>
    <w:p>
      <w:r>
        <w:t>1. THE MARKET FOR INTERMEDIATION FOR THE PROVISION OF INVESTMENT PRODUCTS FOR WEALTH MANAGEMENT ADVISORS</w:t>
      </w:r>
    </w:p>
    <w:p>
      <w:r>
        <w:t>The proposed operation results in an overlap in activity between Crystal and PID in the market for intermediation for the provision of investment products for wealth management advisors, and more specifically in a potential market limited to independent platforms.</w:t>
      </w:r>
    </w:p>
    <w:p>
      <w:r>
        <w:t>In a market comprising both independent and proprietary platforms, the new entity will have an estimated market share of [10-20]% following the operation. In a potential market limited to independent platforms, this market share would be [30-40]%, with an increment of less than [0-5]%.</w:t>
      </w:r>
    </w:p>
    <w:p>
      <w:r>
        <w:t>The Authority notes the presence of numerous competitors of equivalent or even larger size in the overall market for intermediation for the provision of investment products for wealth management advisors, as the new entity indeed faces banking or insurance groups.</w:t>
      </w:r>
    </w:p>
    <w:p>
      <w:r>
        <w:t>Regarding the potential market limited to independent platforms, the new entity would face competitors that provide reliable alternatives to the services offered by the parties' platform, such as Nortia, Oddo BHF, or Alpheys.</w:t>
      </w:r>
    </w:p>
    <w:p>
      <w:r>
        <w:t>Furthermore, the Authority notes that the market test indicates that almost all intermediation platforms targeting wealth management advisors do not have exclusive ties with independent wealth management advisors as clients, allowing them to easily turn to a competing platform, or even to several platforms at the same time; however, this may be different for employed wealth management advisors of banking or insurance groups, who must, in some cases, mandatorily offer investment products through their institution's proprietary platforms and are therefore not considered accessible clients in the market for intermediation for the provision of investment products for wealth management advisors.</w:t>
      </w:r>
    </w:p>
    <w:p>
      <w:r>
        <w:t>Consequently, the operation is not likely to harm competition in the market for intermediation for the provision of investment products for wealth management advisors, regardless of the segmentation considered.</w:t>
      </w:r>
    </w:p>
    <w:p>
      <w:r>
        <w:t>2. THE WEALTH MANAGEMENT ADVISORY MARKET</w:t>
      </w:r>
    </w:p>
    <w:p>
      <w:r>
        <w:t>The proposed operation results in an overlap in activity between Crystal and PID in the wealth management advisory market.</w:t>
      </w:r>
    </w:p>
    <w:p>
      <w:r>
        <w:t>In the overall wealth management advisory market, where the new entity will face competition from both large independent private banks and the "private banking" divisions of retail banking networks, the cumulative market share of the parties is below [0-5]%.</w:t>
      </w:r>
    </w:p>
    <w:p>
      <w:r>
        <w:t>In a potential wealth management advisory market limited to independent wealth management advisors, the new entity would have a market share of [10-20]% following the operation.</w:t>
      </w:r>
    </w:p>
    <w:p>
      <w:r>
        <w:t>Regardless of the segmentation retained, the new entity will face competition from banking groups as well as from wealth management advisor groups of equivalent or smaller size, or even from individual wealth management advisors, providing consumers with alternative offers to that of the new entity.</w:t>
      </w:r>
    </w:p>
    <w:p>
      <w:r>
        <w:t>It follows from the above that the operation is not likely to raise any competition issues in the wealth management advisory market.</w:t>
      </w:r>
    </w:p>
    <w:p>
      <w:r>
        <w:t>B. ANALYSIS OF VERTICAL EFFECTS</w:t>
      </w:r>
    </w:p>
    <w:p>
      <w:r>
        <w:t>A vertical concentration may restrict competition by making access to the markets in which the new entity will be active more difficult, or even potentially excluding competitors or penalizing them by increasing their costs. Decision-making practice generally considers that it is unlikely that a company with a market share below 30% in a relevant market can lock up a downstream or upstream market.</w:t>
      </w:r>
    </w:p>
    <w:p>
      <w:r>
        <w:t>In this case, the parties will be present in both the market for intermediation for the provision of investment products for wealth management advisors and in the wealth management advisory market.</w:t>
      </w:r>
    </w:p>
    <w:p>
      <w:r>
        <w:t>However, the Authority notes that, given the limited market shares of the new entity across all relevant markets – significantly below 30% except in a potential market limited to independent platforms – the operation is not likely to pose risks through vertical effects. Furthermore, the Authority notes that there is no obligation for a wealth management advisor to use the services of a platform or to affiliate with it, and that, due to the absence of exclusive ties between almost all platforms and client wealth management advisors, they are consequently not hindered in their ability to choose their supplier, whether through direct or indirect sourcing.</w:t>
      </w:r>
    </w:p>
    <w:p>
      <w:r>
        <w:t>The operation is therefore not likely to harm competition through vertical effects.</w:t>
      </w:r>
    </w:p>
    <w:p>
      <w:r>
        <w:rPr>
          <w:b/>
        </w:rPr>
        <w:t>[Pages 10–10]</w:t>
      </w:r>
    </w:p>
    <w:p>
      <w:r>
        <w:t xml:space="preserve">DECISION  </w:t>
        <w:br/>
        <w:t xml:space="preserve">Sole Article: The operation notified under number 24-059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