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https://www.autoritedelaconcurrence.fr/fr/decision-de-controle-des-concentrations/relative-la-prise-de-controle-exclusif-de-prowebce-par</w:t>
      </w:r>
    </w:p>
    <w:p>
      <w:r>
        <w:t>Pages translated : 5</w:t>
      </w:r>
    </w:p>
    <w:p/>
    <w:p>
      <w:r>
        <w:rPr>
          <w:b/>
        </w:rPr>
        <w:t>[Pages 1–3]</w:t>
      </w:r>
    </w:p>
    <w:p>
      <w:r>
        <w:t>FRENCH REPUBLIC</w:t>
        <w:br/>
        <w:t>Decision No. 15-DCC-58 of May 26, 2015</w:t>
        <w:br/>
        <w:t>regarding the exclusive control of ProwebCE by</w:t>
        <w:br/>
        <w:t>Edenred France SAS</w:t>
        <w:br/>
        <w:t>The Competition Authority,</w:t>
        <w:br/>
        <w:t>Having regard to the notification file submitted in full to the merger service on April 20, 2015,</w:t>
        <w:br/>
        <w:t>regarding the exclusive control of ProwebCE by Edenred France SAS, formalized by a</w:t>
        <w:br/>
        <w:t>memorandum of understanding dated March 24, 2015;</w:t>
        <w:br/>
        <w:t>Having regard to Book IV of the Commercial Code relating to price and competition freedom, and</w:t>
        <w:br/>
        <w:t>notably its Articles L. 430-1 to L. 430-7;</w:t>
        <w:br/>
        <w:t>Having regard to the supplementary elements transmitted by the parties during the investigation;</w:t>
        <w:br/>
        <w:t>Adopts the following decision:</w:t>
        <w:br/>
        <w:t>I. The companies concerned and the operation</w:t>
        <w:br/>
        <w:t>1. Edenred France SAS (hereinafter "Edenred") is 100% owned by Edenred SA, a company</w:t>
        <w:br/>
        <w:t>listed on the Euronext Paris market. Edenred provides prepaid services to businesses and</w:t>
        <w:br/>
        <w:t>is an issuer of vouchers such as Restaurant Tickets, CESU Tickets, and Kadéos Tickets.</w:t>
        <w:br/>
        <w:t>2. ProwebCE is a company 95.4% owned by ProWebClub, which is itself owned by five</w:t>
        <w:br/>
        <w:t>shareholders, including Edenred at 10%. It offers management and accounting software to works councils and the e-commerce platform "www.meyclub.com"</w:t>
        <w:br/>
        <w:t>allowing employees to use the funds allocated by their works council. In this capacity,</w:t>
        <w:br/>
        <w:t>it resells gift vouchers to works councils.</w:t>
        <w:br/>
        <w:t>3. The operation, formalized by a memorandum of understanding dated March 24, 2015, will lead Edenred</w:t>
        <w:br/>
        <w:t>to increase its stake in ProWebClub to […] % via a newly created holding company,</w:t>
        <w:br/>
        <w:t>PwCE Participations. The remaining capital will be distributed among the executives ([…] %), Secafi</w:t>
        <w:br/>
        <w:t>([…] %), and private investors ([…] %). The management of PwCE Participations will</w:t>
        <w:br/>
        <w:t>be ensured by a management committee composed of 7 members, 4 of whom will be appointed by</w:t>
        <w:br/>
        <w:t>Edenred. [confidential]. It follows from the shareholders' agreement that strategic decisions will</w:t>
        <w:br/>
        <w:t>be made by a majority of 5/7 of the members and cannot therefore be adopted without the agreement of</w:t>
        <w:br/>
        <w:t>Edenred's representatives on the management committee. Consequently, Edenred will exercise exclusive control</w:t>
      </w:r>
    </w:p>
    <w:p>
      <w:r>
        <w:t>over PwCE Participations. Since the management of ProwebCE is handled by the same</w:t>
        <w:br/>
        <w:t>management committee as PwCE Participations, Edenred will also exercise exclusive control</w:t>
        <w:br/>
        <w:t>over ProwebCE. [confidential].</w:t>
        <w:br/>
        <w:t>4. As it results in the exclusive control of ProwebCE by Edenred,</w:t>
        <w:br/>
        <w:t>the operation constitutes a concentration within the meaning of Article L. 430-1 of the Commercial Code.</w:t>
        <w:br/>
        <w:t>5. The companies concerned together achieve a total worldwide turnover excluding taxes of more than 150 million euros (Edenred: 1 billion euros for the fiscal year ending December 31, 2014; ProwebCE: 93.5 million euros for the fiscal year ending December 31, 2014). Each of these companies has achieved a turnover in France exceeding 50 million euros (Edenred: 165 million euros for the fiscal year ending December 31, 2014; ProwebCE: 93.5 million euros for the fiscal year ending December 31, 2014).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II. Definition of the relevant markets</w:t>
        <w:br/>
        <w:t>6. The parties are simultaneously active in the gift voucher market. ProwebCE is also active in offering products and services to employees benefiting from works councils.</w:t>
        <w:br/>
        <w:t>A. THE GIFT VOUCHER MARKETS</w:t>
        <w:br/>
        <w:t>7. Gift vouchers can take the form of different mediums, namely physical or dematerialized checks, cards, or boxes. The gift voucher, which is generally not nominative, allows its holder to purchase a product or service from a seller or service provider who accepts it as a means of payment. Gift checks are vouchers of a defined value, with amounts varying from one voucher to another. Cards take the form of prepaid cards. Unlike checks, cards do not have a face value and must be credited. Checks and cards can be used at partner merchants to pay for goods or services.</w:t>
        <w:br/>
        <w:t>8. Both cards and gift checks can be offered by individuals or by organizations such as works councils. In the latter case, the gift voucher constitutes a social benefit for the employee, in return for which the company benefits from a tax exemption and social charges regime.</w:t>
        <w:br/>
        <w:t>9. Gift boxes include a set of gift vouchers with a thematic character mainly related to travel services.</w:t>
        <w:br/>
        <w:t>10. There are multi-brand vouchers, accepted at a variable number of brands generally belonging to different consumption universes (leisure, culture, clothing, travel) and single-brand vouchers, accepted by a single brand.</w:t>
      </w:r>
    </w:p>
    <w:p>
      <w:r>
        <w:t>11. The decisional practice has distinguished an upstream market for the acceptance of gift vouchers,</w:t>
        <w:br/>
        <w:t>which connects the issuers of vouchers with partner retailers, and a downstream market for distribution. Within the latter, it has considered that segmentations could be made between, on the one hand, cards, checks, and gift boxes, and on the other hand, depending on whether the voucher is marketed to the consumer (BtoC) or to an intermediary organization such as companies, local authorities, or works councils (BtoB). However, it has expressed doubt about the appropriateness of a segmentation between the single-brand or multi-brand nature of the voucher.</w:t>
        <w:br/>
        <w:t>12. In this case, Edenred is solely active in the upstream market for the acceptance of gift vouchers. The two parties are simultaneously active in the segment of the distribution of multi-brand gift checks BtoB.</w:t>
        <w:br/>
        <w:t>13. The Authority has considered that the gift voucher market is of national dimension. There is no reason to challenge this delimitation in the context of the present operation.</w:t>
        <w:br/>
        <w:t>B. THE OFFER OF PRODUCTS AND SERVICES TO EMPLOYEES BENEFITING FROM WORKS COUNCILS</w:t>
        <w:br/>
        <w:t>14. ProwebCE offers works councils a comprehensive range of products and services, including gift checks, for the benefit of employees via the e-commerce platform www.meyclub.com. This allows employees, whose works council is subscribed to the platform, to access goods and services referenced by Meyclub's partners, namely:</w:t>
        <w:br/>
        <w:t>Gaumont, TicketNet, C-Discount, Eurodisney as well as the gift vouchers Ticket Kadeos,</w:t>
        <w:br/>
        <w:t>Cadhoc, Cadeaucarte and single-brand checks and cards.</w:t>
        <w:br/>
        <w:t>15. The parties consider that ProwebCE competes with companies that offer works councils a range of products and services to employees such as (i) specialized resellers, (ii) large brands that have dedicated offers for companies and works councils, and (iii) e-commerce sites (Amazon, Vente Privées) that also have dedicated offers.</w:t>
        <w:br/>
        <w:t>16. Such a market would be of national dimension insofar as the distribution networks of brands, e-commerce sites, and specialized resellers cover the entire territory.</w:t>
        <w:br/>
        <w:t>17. Such a market has not been considered by decisional practice to date. In any case, the question of the exact delimitation of the markets may remain open, with the conclusions of the competitive analysis remaining unchanged regardless of the delimitation retained.</w:t>
        <w:br/>
        <w:t>1 Letter from the Minister dated February 17, 2006, regarding a concentration in the gift check sector; Decision No. 11-D-08 of April 27, 2011, regarding practices implemented by the company Accentiv’Kadeos.</w:t>
      </w:r>
    </w:p>
    <w:p>
      <w:r>
        <w:rPr>
          <w:b/>
        </w:rPr>
        <w:t>[Pages 4–5]</w:t>
      </w:r>
    </w:p>
    <w:p>
      <w:r>
        <w:t xml:space="preserve">III. Competitive Analysis  </w:t>
        <w:br/>
        <w:t xml:space="preserve">18. Regarding horizontal effects, in the market for the distribution of multi-brand gift vouchers to BtoB intermediary organizations, the market share of the new entity will be less than 30% regardless of the segmentation considered, with the market share increment being less than 1%. However, Edenred has not been able to provide its market shares for the segment limited to checks alone. It notes, however, that checks remain to date the main medium for the vast majority of issuers in B-to-B, and that the market shares of the different operators in the checks and cards market that it has communicated constitute, in this respect, reliable indications of their market shares on a market segment limited to checks. The operation is therefore not likely to harm competition through horizontal effects.  </w:t>
        <w:br/>
        <w:t xml:space="preserve">19. Furthermore, the operation leads to a vertical integration between ProwebCE, which distributes gift vouchers as part of its product and service offerings to employees benefiting from works councils, and Edenred, which issues these gift vouchers. A vertical concentration can restrict competition by making access to the markets in which the new entity will be active more difficult, or even potentially excluding competitors or penalizing them by increasing their costs. This is referred to as "locking in" or "foreclosure" of the markets. The decisional practice of the competition authorities generally dismisses these risks of locking in when the market share of the company resulting from the operation in the relevant markets does not exceed 30%.  </w:t>
        <w:br/>
        <w:t xml:space="preserve">20. However, it does not appear that ProwebCE is in a position to lock access for issuers of gift vouchers to customers given its limited position (less than 10% market share) in a potential market for the provision of products and services to employees benefiting from works councils. Moreover, the operation is not likely to lead to a locking in of the market for the distribution of multi-brand gift vouchers BtoB, as ProwebCE's competitors will continue to be able to source from operators such as Chèque Déjeuner (Cadhoc vouchers, [30-40]% market share) and Sodexo (Tir Groupé vouchers, [20-30]% market share).  </w:t>
        <w:br/>
        <w:t>21. It follows that the operation is not likely to harm competition through horizontal or vertical effects.</w:t>
      </w:r>
    </w:p>
    <w:p>
      <w:r>
        <w:t xml:space="preserve">DECIDES  </w:t>
        <w:br/>
        <w:t xml:space="preserve">Sole Article: The operation notified under number 15-045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