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https://www.autoritedelaconcurrence.fr/fr/decision-de-controle-des-concentrations/relative-la-prise-de-controle-exclusif-de-quatre-fonds-de-0</w:t>
      </w:r>
    </w:p>
    <w:p>
      <w:r>
        <w:t>Pages translated : 2</w:t>
      </w:r>
    </w:p>
    <w:p/>
    <w:p>
      <w:r>
        <w:rPr>
          <w:b/>
        </w:rPr>
        <w:t>[Pages 1–2]</w:t>
      </w:r>
    </w:p>
    <w:p>
      <w:r>
        <w:t>FRENCH REPUBLIC</w:t>
        <w:br/>
        <w:t>Decision No. 23-DCC-120 of June 16, 2023</w:t>
        <w:br/>
        <w:t>regarding the exclusive control acquisition of four business assets under the Monoprix brand by the Legout group</w:t>
        <w:br/>
        <w:t>The Competition Authority,</w:t>
        <w:br/>
        <w:t>Having regard to the complete notification file sent to the mergers department on May 30, 2023, concerning the exclusive control acquisition of four business assets under the Monoprix brand by the Legout group, formalized by a promise of sale and purchase dated May 30,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Legout group of four retail business assets for the distribution of food and non-food products under the Monoprix brand located in Bourg-en-Bresse (01), Lisieux (14), Lunéville (54), and Noyon (60).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23-134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