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https://www.autoritedelaconcurrence.fr/fr/decision-de-controle-des-concentrations/relative-la-prise-de-controle-exclusif-de-quatre-fonds-de-1</w:t>
      </w:r>
    </w:p>
    <w:p>
      <w:r>
        <w:t>Pages translated : 2</w:t>
      </w:r>
    </w:p>
    <w:p/>
    <w:p>
      <w:r>
        <w:rPr>
          <w:b/>
        </w:rPr>
        <w:t>[Pages 1–2]</w:t>
      </w:r>
    </w:p>
    <w:p>
      <w:r>
        <w:t>FRENCH REPUBLIC</w:t>
        <w:br/>
        <w:t>Decision No. 23-DCC-226 of November 28, 2023</w:t>
        <w:br/>
        <w:t>regarding the exclusive control acquisition of four automobile distribution businesses located in Yvelines by the Stellantis group</w:t>
        <w:br/>
        <w:t>The Competition Authority,</w:t>
        <w:br/>
        <w:t>Having regard to the complete notification file submitted to the mergers department on November 8, 2023, concerning the exclusive control acquisition by the Stellantis group of four automobile distribution businesses in Yvelines, formalized by synallagmatic promises dated October 31, 2023;</w:t>
        <w:br/>
        <w:t>Having regard to Book IV of the Commercial Code relating to freedom of prices and competition, and in particular its Articles L. 430-1 to L. 430-7;</w:t>
        <w:br/>
        <w:t>Adopts the following decision:</w:t>
        <w:br/>
        <w:t>1. The notified operation consists of the exclusive control acquisition by the Stellantis group of four businesses held by the company Groupe Bruno Courtois Automobiles and located in La Celle-Saint-Cloud (78), Montigny-le-Bretonneux (78), Versailles (78), and Viroflay (78). The operation constitutes a concentration within the meaning of Article L. 430-1 of the Commercial Code. Given the turnover generated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23-248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