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https://www.autoritedelaconcurrence.fr/fr/decision-de-controle-des-concentrations/relative-la-prise-de-controle-exclusif-de-quatre-points-de</w:t>
      </w:r>
    </w:p>
    <w:p>
      <w:r>
        <w:t>Pages translated : 2</w:t>
      </w:r>
    </w:p>
    <w:p/>
    <w:p>
      <w:r>
        <w:rPr>
          <w:b/>
        </w:rPr>
        <w:t>[Pages 1–2]</w:t>
      </w:r>
    </w:p>
    <w:p>
      <w:r>
        <w:t>FRENCH REPUBLIC</w:t>
        <w:br/>
        <w:t>Decision No. 19-DCC-219 of November 25, 2019</w:t>
        <w:br/>
        <w:t>regarding the exclusive control acquisition of four food-dominant retail outlets operated under the Auchan group brands by the company Lidl</w:t>
        <w:br/>
        <w:t>The Competition Authority,</w:t>
        <w:br/>
        <w:t>Having regard to the complete notification file sent to the mergers department on October 18, 2019, concerning the exclusive control acquisition by the company Lidl of four food-dominant retail outlets operated under the Auchan group brand and materialized by two synallagmatic promises concluded on July 24, 2019;</w:t>
        <w:br/>
        <w:t>Having regard to Book IV of the Commercial Code relating to the freedom of prices and competition, and in particular its Articles L. 430-1 to L. 430-7;</w:t>
        <w:br/>
        <w:t>Adopts the following decision:</w:t>
        <w:br/>
        <w:t>1. The notified operation consists of the exclusive control acquisition by the company Lidl of a food-dominant retail outlet of the hypermarket type located in Villetaneuse (93) operated under the Auchan brand with a sales area of 7,750 m²; as well as three food-dominant retail outlets of the supermarket type located in Perpignan (66), with a sales area of 1,645 m², in Saint-Cyprien (66), with a sales area of 665 m², and in Val-de-Moder (67), with a sales area of 1,253 m².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The present operation is therefore subject to the provisions of Articles L. 430-3 and following of the Commercial Code relating to economic concentration.</w:t>
        <w:br/>
        <w:t>2. The markets concerned by the operation are the markets for the retail distribution of food-dominant products. These markets are consistently defined by the decision-making practice of the Competition Authority.</w:t>
        <w:br/>
        <w:t>3. Regardless of the segmentations retained, the estimated market shares of the parties are below 25%.</w:t>
        <w:br/>
        <w:t>4. Considering the elements of the file and in accordance with point 384 of the guidelines of the Competition Authority relating to the control of concentrations, the operation is not likely to harm competition.</w:t>
      </w:r>
    </w:p>
    <w:p>
      <w:r>
        <w:t>DECIDES</w:t>
        <w:br/>
        <w:t>Sole Article: The operation notified under number 19-251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