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https://www.autoritedelaconcurrence.fr/fr/decision-de-controle-des-concentrations/relative-la-prise-de-controle-exclusif-de-quinze-fonds-de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24-DCC-237 of November 8, 2024</w:t>
        <w:br/>
        <w:t>regarding the exclusive control acquisition of fifteen business assets</w:t>
        <w:br/>
        <w:t>operated by the company Courir France by the company Snipes SAS</w:t>
        <w:br/>
        <w:t>The Competition Authority,</w:t>
        <w:br/>
        <w:t>Having regard to the complete notification file sent to the mergers department on October 10, 2024,</w:t>
        <w:br/>
        <w:t>concerning the exclusive control acquisition of fifteen business assets operated by the company</w:t>
        <w:br/>
        <w:t>Courir France by the company Snipes SAS, formalized by a memorandum of understanding dated</w:t>
        <w:br/>
        <w:t>September 2,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company Snipes SAS, active</w:t>
        <w:br/>
        <w:t>in the retail distribution sector of sporting goods, of fifteen business assets operated by the company</w:t>
        <w:br/>
        <w:t>Courir France, active in the same sector. It constitutes a concentration operation within the meaning of</w:t>
        <w:br/>
        <w:t>Article L. 430-1 of the Commercial Code. Given the turnover achieved by the companies concerned, the</w:t>
        <w:br/>
        <w:t>operation does not fall under the jurisdiction of the European Union. On the other hand, the control thresholds</w:t>
        <w:br/>
        <w:t>related to retail trade mentioned in II of Article L. 430-2 of the Commercial Code are exceeded. This operation</w:t>
        <w:br/>
        <w:t>is therefore subject to the provisions of Articles L. 430-3 and following of the Commercial Code relating to</w:t>
        <w:br/>
        <w:t>economic concentration.</w:t>
        <w:br/>
        <w:t>2. The fifteen target business assets constitute the assets whose transfer was proposed by the</w:t>
        <w:br/>
        <w:t>company JD Sports in the context of the acquisition of the Courir group notified to the European</w:t>
        <w:br/>
        <w:t>Commission and authorized under conditions by the latter on October 22, 20241. The analysis conducted</w:t>
        <w:br/>
        <w:t>by the Authority in the context of this operation takes up the market definitions retained by the European</w:t>
        <w:br/>
        <w:t>Commission in this decision.</w:t>
        <w:br/>
        <w:t>3. In view of the elements of the file, the operation is not likely to harm competition in the relevant</w:t>
        <w:br/>
        <w:t>markets.</w:t>
        <w:br/>
        <w:t>1 Decision of the European Commission, M.11159 "JD Sports / Groupe Courir", October 22, 2024.</w:t>
      </w:r>
    </w:p>
    <w:p>
      <w:r>
        <w:t>DECIDES</w:t>
        <w:br/>
        <w:t>Sole Article: The operation notified under number 24-234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