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https://www.autoritedelaconcurrence.fr/fr/decision-de-controle-des-concentrations/relative-la-prise-de-controle-exclusif-de-renault-angouleme</w:t>
      </w:r>
    </w:p>
    <w:p>
      <w:r>
        <w:t>Pages translated : 2</w:t>
      </w:r>
    </w:p>
    <w:p/>
    <w:p>
      <w:r>
        <w:rPr>
          <w:b/>
        </w:rPr>
        <w:t>[Pages 1–2]</w:t>
      </w:r>
    </w:p>
    <w:p>
      <w:r>
        <w:t>FRENCH REPUBLIC</w:t>
        <w:br/>
        <w:t>Decision No. 14-DCC-157 of November 5, 2014</w:t>
        <w:br/>
        <w:t>regarding the exclusive control acquisition of Renault Angoulême by JCM</w:t>
        <w:br/>
        <w:t>Investissements</w:t>
        <w:br/>
        <w:t>The Competition Authority,</w:t>
        <w:br/>
        <w:t>Having regard to the complete notification file submitted to the mergers department on</w:t>
        <w:br/>
        <w:t>October 10, 2014, concerning the exclusive control acquisition of Renault Angoulême by JCM</w:t>
        <w:br/>
        <w:t>Investissements, and materialized by a synallagmatic promise of business asset transfer under suspensive condition dated October 10, 2014;</w:t>
        <w:br/>
        <w:t>Having regard to Book IV of the Commercial Code relating to the freedom of prices and competition, and in particular its Articles L. 430-1 to L. 430-7;</w:t>
        <w:br/>
        <w:t>Adopts the following decision:</w:t>
        <w:br/>
        <w:t>1. The notified operation consists of the exclusive control acquisition of Renault Angoulême,</w:t>
        <w:br/>
        <w:t>operating a business asset as an approved automobile repairer of Renault and Dacia brands in the city of Angoulême (16), by the company JCM Investissements, a company at the head of a group active in the automobile distribution of Renault and Dacia brands in Charente (16) and Charente Maritime (17).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14-141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