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https://www.autoritedelaconcurrence.fr/fr/decision-de-controle-des-concentrations/relative-la-prise-de-controle-exclusif-de-rothschild-france</w:t>
      </w:r>
    </w:p>
    <w:p>
      <w:r>
        <w:t>Pages translated : 8</w:t>
      </w:r>
    </w:p>
    <w:p/>
    <w:p>
      <w:r>
        <w:rPr>
          <w:b/>
        </w:rPr>
        <w:t>[Pages 1–3]</w:t>
      </w:r>
    </w:p>
    <w:p>
      <w:r>
        <w:t xml:space="preserve">FRENCH REPUBLIC  </w:t>
        <w:br/>
        <w:t xml:space="preserve">Decision No. 20-DCC-21 of February 20, 2020  </w:t>
        <w:br/>
        <w:t xml:space="preserve">regarding the exclusive control of Rothschild France Distribution by the Campari group  </w:t>
        <w:br/>
        <w:t xml:space="preserve">The Competition Authority,  </w:t>
        <w:br/>
        <w:t xml:space="preserve">Having regard to the notification file submitted in full to the merger service on January 17, 2020, regarding the exclusive control of the company Baron Philippe de Rothschild France S.A.S by the company Davide Campari – Milano S.p.A, formalized by a share transfer agreement dated December 20, 2019;  </w:t>
        <w:br/>
        <w:t xml:space="preserve">Having regard to Book IV of the Commercial Code relating to price and competition freedom, and in particular its Articles L. 430-1 to L. 430-7;  </w:t>
        <w:br/>
        <w:t xml:space="preserve">Having regard to the additional elements submitted by the notifying party during the investigation;  </w:t>
        <w:br/>
        <w:t xml:space="preserve">Having regard to the other documents in the file;  </w:t>
        <w:br/>
        <w:t>Adopts the following decision:</w:t>
      </w:r>
    </w:p>
    <w:p>
      <w:r>
        <w:t xml:space="preserve">I. The Companies Involved and the Operation  </w:t>
        <w:br/>
        <w:t xml:space="preserve">1. Davide Campari – Milano S.p.A. is the holding company of the Campari group, which is active in the production and distribution of alcoholic beverages. The group is listed on the Milan Stock Exchange and is exclusively controlled by the Garavoglia family.  </w:t>
        <w:br/>
        <w:t xml:space="preserve">2. Campari operates 4 production sites in France and owns numerous brands of alcoholic beverages, including Apérol and Campari (aperitifs), Riccadonna (sparkling wine), Glen Grant (whisky), Appelton and Wray Nephew (rums), Bulldog Gin (gin), Frangelico, Avarena, and Grand Marnier (liqueurs), and Bisquit (Cognac). In France, the distribution of Campari group products is mainly handled by Baron Philippe de Rothschild France Distribution.  </w:t>
        <w:br/>
        <w:t xml:space="preserve">3. Baron Philippe de Rothschild France Distribution (hereinafter "RFD") is a simplified joint-stock company specialized in the distribution of alcoholic beverages on behalf of its parent company, Baron Philippe de Rothschild, and other spirits producers (Campari, Beam Suntory, or Pol Roger).  </w:t>
        <w:br/>
        <w:t xml:space="preserve">4. The notified operation, formalized by a share transfer agreement dated December 20, 2019, consists of the acquisition by the Campari group of the entire share capital and voting rights of RFD.  </w:t>
        <w:br/>
        <w:t xml:space="preserve">5. As it results in the exclusive control of the company RFD by the Campari group, the notified operation constitutes a concentration operation within the meaning of Article L. 430-1 of the Commercial Code.  </w:t>
        <w:br/>
        <w:t>6. The companies involved together achieve a total worldwide turnover of more than 150 million euros (Campari: 1.7 billion euros for the fiscal year ending December 31, 2018; RFD: 145 million euros for the same fiscal year). Each of these companies generates in France a turnover exceeding 50 million euros (Campari: [≥ 50 million] euros for the fiscal year ending December 31, 2018; RFD: [≥ 50 million]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A. THE MARKET FOR THE PRODUCTION OF ALCOHOLIC BEVERAGES  </w:t>
        <w:br/>
        <w:t xml:space="preserve">7. The notifying party proposes to distinguish the market for the production of alcoholic beverages from the market for the distribution of these same products.  </w:t>
        <w:br/>
        <w:t xml:space="preserve">8. It argues in particular that the market presents two main categories of operators: on the one hand, integrated operators, simultaneously present in the production and distribution markets of alcoholic beverages through their distribution subsidiary, and on the other hand, independent operators, particularly those lacking the critical size to develop their own distribution subsidiary. In the latter case, products are notably distributed through the distribution companies of integrated competitors or independent companies.  </w:t>
        <w:br/>
        <w:t xml:space="preserve">9. Furthermore, the notifying party argues that there is no need to segment the market, particularly by type of beverages.  </w:t>
        <w:br/>
        <w:t xml:space="preserve">10. Almost all respondents to the market test conducted among the parties' competitors confirm that it is necessary to distinguish between the markets for the production and distribution of alcoholic beverages, notably due to the diversity of the players and the specificity of the two activities. In particular, the distribution activity requires expertise and an organization distinct from those necessary for the production activity.  </w:t>
        <w:br/>
        <w:t xml:space="preserve">11. Moreover, a majority of respondents believe that it is appropriate to segment the market for the production of alcoholic beverages according to the type of beverages.  </w:t>
        <w:br/>
        <w:t xml:space="preserve">12. Regarding the geographical market, the notifying party proposes to retain a national dimension of the market, which is confirmed by the majority of respondents to the market test.  </w:t>
        <w:br/>
        <w:t>13. In this case, the competitive analysis will therefore be conducted on the national market for the production of alcoholic beverages, segmented according to the type of alcoholic beverages (wines, beers, and spirits) and the range. In any event, the question of the exact delimitation of the production market can be left open insofar as, regardless of the segmentation considered, the competitive analysis will remain unchanged.</w:t>
      </w:r>
    </w:p>
    <w:p>
      <w:r>
        <w:t xml:space="preserve">B. THE MARKET FOR THE DISTRIBUTION OF ALCOHOLIC BEVERAGES  </w:t>
        <w:br/>
        <w:t xml:space="preserve">1. PRODUCT MARKET  </w:t>
        <w:br/>
        <w:t xml:space="preserve">a) Segmentation by type of beverages  </w:t>
        <w:br/>
        <w:t xml:space="preserve">Spirits  </w:t>
        <w:br/>
        <w:t xml:space="preserve">14. Competition authorities, based on the low substitutability between spirits due to differences in taste, as well as the existence of characteristics specific to each spirit, consider that each type of spirit constitutes a distinct market.  </w:t>
        <w:br/>
        <w:t xml:space="preserve">Gin  </w:t>
        <w:br/>
        <w:t xml:space="preserve">15. Competition authorities consider that gin forms a product market, without the need for further segmentation.  </w:t>
        <w:br/>
        <w:t xml:space="preserve">Tequila  </w:t>
        <w:br/>
        <w:t xml:space="preserve">16. Competition authorities consider that tequila forms a product market, without the need for further segmentation.  </w:t>
        <w:br/>
        <w:t xml:space="preserve">1 Decision of the Competition Authority No. 19-DCC-36 regarding the exclusive control of the company Marie Brizard Wine &amp; Spirits by the company Compagnie Financière européenne and the cited decisions.  </w:t>
        <w:br/>
        <w:t xml:space="preserve">2 Decision No. 19-DCC-36, aforementioned.  </w:t>
        <w:br/>
        <w:t>3 Decision No. 19-DCC-36, aforementioned.</w:t>
      </w:r>
    </w:p>
    <w:p>
      <w:r>
        <w:rPr>
          <w:b/>
        </w:rPr>
        <w:t>[Pages 4–6]</w:t>
      </w:r>
    </w:p>
    <w:p>
      <w:r>
        <w:t xml:space="preserve">Vodka  </w:t>
        <w:br/>
        <w:t xml:space="preserve">17. Within the vodka market, the European Commission considered distinguishing between natural vodka and flavored vodkas. In 2006, the Minister in charge of the economy noted, however, that sales of flavored vodkas were less developed in France than in other European countries and that they only represented a marginal share of vodka consumption.  </w:t>
        <w:br/>
        <w:t xml:space="preserve">18. In its aforementioned decision No. 19-DCC-26, the Authority questioned the possibility of considering the vodka market in its entirety. However, the question was left open.  </w:t>
        <w:br/>
        <w:t xml:space="preserve">Whisky  </w:t>
        <w:br/>
        <w:t xml:space="preserve">19. Competition authorities segment the whisky market according to its geographical origin (Scotland, Ireland, Canada, United States, etc.). They have also considered a market for blended whisky from multiple geographical origins.  </w:t>
        <w:br/>
        <w:t xml:space="preserve">20. Within Scotch whisky, the Competition Authority identified a distinct market for blended Scotch whisky aged less than twelve years (a blend of malt whisky and grain spirit), as opposed to pure malt (composed of malt whisky).  </w:t>
        <w:br/>
        <w:t xml:space="preserve">Other Spirits  </w:t>
        <w:br/>
        <w:t xml:space="preserve">21. Competition authorities have considered segmenting the spirits market between cognac, armagnac, calvados, and other spirits (excluding vodka and whisky).  </w:t>
        <w:br/>
        <w:t xml:space="preserve">Other Alcoholic Beverages  </w:t>
        <w:br/>
        <w:t xml:space="preserve">Punches and Cocktails  </w:t>
        <w:br/>
        <w:t xml:space="preserve">22. Competition authorities have considered a segmentation between punches (rum-based cocktails) on one hand and other cocktails (vodka-orange, gin fizz, mojito, spritz, etc.) on the other hand.  </w:t>
        <w:br/>
        <w:t xml:space="preserve">Liqueurs  </w:t>
        <w:br/>
        <w:t xml:space="preserve">23. Competition authorities consider that each type of liqueur can constitute a distinct market due to their differing tastes. They have thus distinguished between traditional liqueurs (Grand Marnier, Cointreau, etc.), modern liqueurs (manzana, cachaca, passoa, etc.), and fruit creams, each of these categories catering to specific uses and types of clientele.  </w:t>
        <w:br/>
        <w:t xml:space="preserve">24. Furthermore, within fruit creams, the Minister in charge of the economy considered the existence of a specific market for blackcurrant creams and a sub-segment for Dijon blackcurrant creams.  </w:t>
        <w:br/>
        <w:t xml:space="preserve">Still and Sparkling Wines  </w:t>
        <w:br/>
        <w:t xml:space="preserve">25. Competition authorities consider that still wines and sparkling wines belong to two distinct product markets.  </w:t>
        <w:br/>
        <w:t xml:space="preserve">26. Regarding sparkling wines, the product market does not include Champagne wines. Furthermore, several sub-segmentations have been considered according to the color of the wines and their appellation.  </w:t>
        <w:br/>
        <w:t xml:space="preserve">27. Regarding still wines, the same sub-segmentations have been considered, according to the color of the wines (red, white, or rosé) and their appellation (protected designation of origin ("AOP"), protected geographical indication ("IGP"), wine without geographical indication ("SIG")). However, the Competition Authority has considered the existence of a market that includes both SIG wines and wines with an IGP, excluding wines sold under a low-cost brand.  </w:t>
        <w:br/>
        <w:t xml:space="preserve">28. Within the still wine market, the Authority has considered the existence of a distinct market for flavored wine-based beverages or flavored still wines. These beverages contain a wine base (at least 50%), an alcohol by volume content between 7% and 14.5%, and flavoring.  </w:t>
        <w:br/>
        <w:t xml:space="preserve">Rum  </w:t>
        <w:br/>
        <w:t xml:space="preserve">29. The Competition Authority distinguished between agricultural rum and non-agricultural rum. It also considered a segmentation between quota rum and non-quota rum.  </w:t>
        <w:br/>
        <w:t xml:space="preserve">Bitters  </w:t>
        <w:br/>
        <w:t xml:space="preserve">30. While a global market for bitters can be recognized, consisting of alcoholic beverages made from the infusion of bitter plants (bitter gentian, bitter orange, or quinine), the existence of a distinct market for bitter gentian has not been excluded by the Minister in charge of the economy.  </w:t>
        <w:br/>
        <w:t xml:space="preserve">Light Aperitifs  </w:t>
        <w:br/>
        <w:t xml:space="preserve">31. Competition authorities have identified a market for light aperitifs, which includes vermouths, aperitif wines, and fruit wine-based aperitifs. They consider that these types of aperitifs form a product market, without the need for further segmentation.  </w:t>
        <w:br/>
        <w:t xml:space="preserve">Natural Sweet Wines  </w:t>
        <w:br/>
        <w:t xml:space="preserve">32. The Competition Authority has considered a segmentation of the natural sweet wine market according to their color, distinguishing on one hand, white natural sweet wines such as Muscats and on the other hand, red natural sweet wines (tawny or amber) such as Rivesaltes and Banyuls.  </w:t>
        <w:br/>
        <w:t xml:space="preserve">Flavored Alcoholic Beverages  </w:t>
        <w:br/>
        <w:t xml:space="preserve">33. In France, these beverages, referred to as "premix" or "alcopops," are subject to specific taxation. Premixes notably refer to flavored beverages with vodka, such as Smirnoff Ice and Poliakov Ice products.  </w:t>
        <w:br/>
        <w:t xml:space="preserve">34. Distinct from the flavored still wines defined above, flavored alcoholic beverages have been segmented between, on one hand, mixtures of beverages composed of a spirit and a non-alcoholic beverage and, on the other hand, alcoholic soft drinks that correspond to the alcoholization of a soft drink, such as lemonade.  </w:t>
        <w:br/>
        <w:t xml:space="preserve">Champagnes  </w:t>
        <w:br/>
        <w:t xml:space="preserve">35. Decision-making practice has considered that Champagne wines constitute a distinct market, without considering further segmentation.  </w:t>
        <w:br/>
        <w:t xml:space="preserve">Liqueur Wines  </w:t>
        <w:br/>
        <w:t xml:space="preserve">36. Competition authorities have recognized a market for liqueur wines (or fortified wines). Within this market, they have considered distinct markets for sherry and port, as both of these liqueur wines have a controlled designation of origin. Regarding port, a sub-segmentation according to its color (red, white) has been considered.  </w:t>
        <w:br/>
        <w:t xml:space="preserve">b) Segmentation According to Distribution Channel  </w:t>
        <w:br/>
        <w:t>37. Competition authorities generally make a distinction between the "on-trade" channel and the "off-trade" channel. The "on-trade" channel includes sales of beverages intended for consumption away from home, which encompasses cafés, hotels, restaurants, and other establishments. Sales to wholesalers, "cash &amp; carry," as well as wine merchants are part of this channel. The "off-trade" channel includes sales of beverages intended for large distribution (or "GMS") which encompasses all forms of food-dominant commerce (including maxidiscount or "hard-discount"), with the exception of small stores, such as grocery stores, which generally source from wholesalers or "cash &amp; carry." This segmentation is based on the existence of characteristics specific to each of these channels: differentiated bottle packaging, dedicated sales forces, market shares.</w:t>
      </w:r>
    </w:p>
    <w:p>
      <w:r>
        <w:rPr>
          <w:b/>
        </w:rPr>
        <w:t>[Pages 7–8]</w:t>
      </w:r>
    </w:p>
    <w:p>
      <w:r>
        <w:t xml:space="preserve">operators may vary substantially depending on the circuit considered, distinct prices and commercial conditions, etc.  </w:t>
        <w:br/>
        <w:t xml:space="preserve">c) Segmentation According to the Commercial Positioning of Products  </w:t>
        <w:br/>
        <w:t xml:space="preserve">38. Within the "off-trade" circuit, beverages are primarily distributed under manufacturer brand (MDF) or distributor brand (MDD). Competition authorities examine, on a case-by-case basis, the relevance of segmentation according to these two commercial positions for the relevant consumer goods.  </w:t>
        <w:br/>
        <w:t xml:space="preserve">39. In this case, the beverage markets have generally been segmented between MDF and MDD, given the differences noted between these two categories of products in terms of price, quality, and characteristics.  </w:t>
        <w:br/>
        <w:t xml:space="preserve">40. However, regarding the markets for vodka and whisky, the Authority considered that MDD exert a certain competition on entry and mid-range MDF. It thus distinguished, on the one hand, between MDD and entry and mid-range MDF and, on the other hand, high-end brands.  </w:t>
        <w:br/>
        <w:t xml:space="preserve">41. There is no reason to challenge the segmentation of the alcoholic beverage distribution market as it has just been described in the context of this operation.  </w:t>
        <w:br/>
        <w:t xml:space="preserve">42. The target is present in the spirits market (non-agricultural rum, gin, tequila, natural or flavored vodka, whisky (US, Canada, Ireland, Single malt scotch, blended scotch, and others), cognac, and other eaux-de-vie), still wines (white, rosé, red, AOP, and everyday consumption), sparkling wines, champagne, liqueur wines, liqueurs (traditional, modern, and fruit cream), sweet wines, aperitifs, and bitters. It is active in both on-trade and off-trade markets and markets products sold under MDF.  </w:t>
        <w:br/>
        <w:t xml:space="preserve">2. GEOGRAPHICAL MARKETS  </w:t>
        <w:br/>
        <w:t xml:space="preserve">43. Competition authorities consider that the markets for spirits, other alcoholic beverages, and non-alcoholic beverages have a national dimension due to the existence of consumption habits and regulations, particularly regarding bottle labeling, which differ between countries.  </w:t>
        <w:br/>
        <w:t xml:space="preserve">44. There is no reason to question this definition in the context of this decision.  </w:t>
        <w:br/>
        <w:t xml:space="preserve">III. Competitive Analysis  </w:t>
        <w:br/>
        <w:t xml:space="preserve">45.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provides it at a high price, under unfavorable conditions, or at a degraded quality level. It can also concern upstream markets when the downstream branch of the integrated company refuses to purchase products from upstream manufacturers, thereby reducing commercial outlets.  </w:t>
        <w:br/>
        <w:t xml:space="preserve">46. However, decision-making practice generally considers that a risk of vertical effect can be ruled out as long as the market share of the company resulting from the operation in the relevant markets does not exceed 30%.  </w:t>
        <w:br/>
        <w:t xml:space="preserve">47. In this case, given the activities carried out by the parties, the operation is likely to generate vertical effects between the upstream markets for the production of alcoholic beverages and the downstream markets for the distribution of alcoholic beverages.  </w:t>
        <w:br/>
        <w:t xml:space="preserve">48. However, the operation does not entail any risk of lock-in in the markets given the limited market shares of the parties, which are below 30% regardless of the segmentation retained.  </w:t>
        <w:br/>
        <w:t xml:space="preserve">49. Therefore, the operation is not likely to harm competition through vertical effects in these markets.  </w:t>
        <w:br/>
        <w:t xml:space="preserve">DECIDES  </w:t>
        <w:br/>
        <w:t xml:space="preserve">Single Article: The operation notified under number 19-312 is authorized.  </w:t>
        <w:br/>
        <w:t xml:space="preserve">The Vice-President,  </w:t>
        <w:br/>
        <w:t xml:space="preserve">Henri Piffaut  </w:t>
        <w:br/>
        <w:t xml:space="preserve">© Competition Authority  </w:t>
        <w:br/>
        <w:t>The parties also provided the market shares of the new entity in the overall market for the production and marketing of alcoholic beverages. In any case, the market shares of the new entity being below 25% regardless of the segmentation retained, the operation is not likely to raise a competitive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