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https://www.autoritedelaconcurrence.fr/fr/decision-de-controle-des-concentrations/relative-la-prise-de-controle-exclusif-de-sarenza-par-le</w:t>
      </w:r>
    </w:p>
    <w:p>
      <w:r>
        <w:t>Pages translated : 2</w:t>
      </w:r>
    </w:p>
    <w:p/>
    <w:p>
      <w:r>
        <w:rPr>
          <w:b/>
        </w:rPr>
        <w:t>[Pages 1–2]</w:t>
      </w:r>
    </w:p>
    <w:p>
      <w:r>
        <w:t xml:space="preserve">FRENCH REPUBLIC  </w:t>
        <w:br/>
        <w:t xml:space="preserve">Decision No. 14-DCC-94 of June 27, 2014  </w:t>
        <w:br/>
        <w:t xml:space="preserve">regarding the exclusive control of Sarenza by the investment fund HLD  </w:t>
        <w:br/>
        <w:t xml:space="preserve">The Competition Authority,  </w:t>
        <w:br/>
        <w:t xml:space="preserve">Having regard to the complete notification file submitted to the mergers department on June 18, 2014,  </w:t>
        <w:br/>
        <w:t xml:space="preserve">concerning the exclusive control of the company Sarenza by the investment fund HLD  </w:t>
        <w:br/>
        <w:t xml:space="preserve">and formalized by an investment agreement dated June 16, 2014;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of Sarenza, active in the online sale of shoes and accessories, by the investment fund HLD. It constitutes a concentration operation within the meaning of Article L. 430-1 of the Commercial Code. Given the turnover achieved by the companies concerned, the operation does not fall under the jurisdiction of the European Union. On the other hand, the control thresholds relating to concentration operations mentioned in point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14-105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