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https://www.autoritedelaconcurrence.fr/fr/decision-de-controle-des-concentrations/relative-la-prise-de-controle-exclusif-de-selection-1818</w:t>
      </w:r>
    </w:p>
    <w:p>
      <w:r>
        <w:t>Pages translated : 2</w:t>
      </w:r>
    </w:p>
    <w:p/>
    <w:p>
      <w:r>
        <w:rPr>
          <w:b/>
        </w:rPr>
        <w:t>[Pages 1–2]</w:t>
      </w:r>
    </w:p>
    <w:p>
      <w:r>
        <w:t xml:space="preserve">FRENCH REPUBLIC  </w:t>
        <w:br/>
        <w:t xml:space="preserve">Decision No. 18-DCC-124 of July 27, 2018  </w:t>
        <w:br/>
        <w:t xml:space="preserve">regarding the exclusive control acquisition of Sélection 1818 by DLPK  </w:t>
        <w:br/>
        <w:t>The Competition Authority,</w:t>
      </w:r>
    </w:p>
    <w:p>
      <w:r>
        <w:t>Having regard to the complete notification file submitted to the mergers department on July 9, 2018, concerning the exclusive control acquisition of Sélection 1818 by DLPK, formalized by a unilateral purchase promise dated April 19, 2018;</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Sélection 1818 by the company DLPK. It constitutes a concentration within the meaning of Article L. 430-1 of the Commercial Code. Considering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2. The markets concerned by the operation are those of insurance and banking, which are consistently defined by the decision-making practice of the Competition Authority.</w:t>
      </w:r>
    </w:p>
    <w:p>
      <w:r>
        <w:t>3. Regardless of the segmentations retained, the combined market shares of the parties are below 25%.</w:t>
      </w:r>
    </w:p>
    <w:p>
      <w:r>
        <w:t>4. Considering the elements of the file and in particular point 384 of the guidelines of the Competition Authority regarding the control of concentrations, the operation is not likely to harm competition.</w:t>
      </w:r>
    </w:p>
    <w:p>
      <w:r>
        <w:t xml:space="preserve">DECIDES  </w:t>
        <w:br/>
        <w:t xml:space="preserve">Sole Article: The operation notified under number 18-129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