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https://www.autoritedelaconcurrence.fr/fr/decision-de-controle-des-concentrations/relative-la-prise-de-controle-exclusif-de-sept-cliniques</w:t>
      </w:r>
    </w:p>
    <w:p>
      <w:r>
        <w:t>Pages translated : 15</w:t>
      </w:r>
    </w:p>
    <w:p/>
    <w:p>
      <w:r>
        <w:rPr>
          <w:b/>
        </w:rPr>
        <w:t>[Pages 1–3]</w:t>
      </w:r>
    </w:p>
    <w:p>
      <w:r>
        <w:t xml:space="preserve">FRENCH REPUBLIC  </w:t>
        <w:br/>
        <w:t xml:space="preserve">Decision No. 22-DCC-125 of July 15, 2022  </w:t>
        <w:br/>
        <w:t xml:space="preserve">regarding the exclusive control of seven clinics belonging  </w:t>
        <w:br/>
        <w:t>to the Almaviva group by the company Sagesse Retraite Santé</w:t>
      </w:r>
    </w:p>
    <w:p>
      <w:r>
        <w:t xml:space="preserve">The Competition Authority,  </w:t>
        <w:br/>
        <w:t xml:space="preserve">Having regard to the notification file submitted in full to the merger service on June 17, 2022,  </w:t>
        <w:br/>
        <w:t xml:space="preserve">regarding the exclusive control of seven clinics belonging to the Almaviva group by  </w:t>
        <w:br/>
        <w:t xml:space="preserve">the company Sagesse Retraite Santé, formalized by a memorandum of understanding dated  </w:t>
        <w:br/>
        <w:t xml:space="preserve">December 10, 2021;  </w:t>
        <w:br/>
        <w:t xml:space="preserve">Having regard to Book IV of the Commercial Code relating to the freedom of prices and competition, and  </w:t>
        <w:br/>
        <w:t xml:space="preserve">notably its Articles L. 430-1 to L. 430-7;  </w:t>
        <w:br/>
        <w:t>Adopts the following decision:</w:t>
      </w:r>
    </w:p>
    <w:p>
      <w:r>
        <w:t xml:space="preserve">Summary1  </w:t>
        <w:br/>
        <w:t xml:space="preserve">By this decision, the Authority has unconditionally authorized the exclusive control  </w:t>
        <w:br/>
        <w:t xml:space="preserve">of seven clinics controlled by the Almaviva group by the company Sagesse Retraite  </w:t>
        <w:br/>
        <w:t xml:space="preserve">Santé.  </w:t>
        <w:br/>
        <w:t xml:space="preserve">The company Sagesse Retraite Santé, a subsidiary of the Sagesse group, is active in the fields  </w:t>
        <w:br/>
        <w:t xml:space="preserve">of health and medico-social services. The target assets consist of seven clinics currently  </w:t>
        <w:br/>
        <w:t xml:space="preserve">controlled by the Almaviva Santé group.  </w:t>
        <w:br/>
        <w:t xml:space="preserve">In this decision, the Authority confirmed its decision-making practice regarding the markets for  </w:t>
        <w:br/>
        <w:t xml:space="preserve">the provision of diagnostics and hospital care, rehabilitation and follow-up care centers, and  </w:t>
        <w:br/>
        <w:t xml:space="preserve">accommodation for the elderly.  </w:t>
        <w:br/>
        <w:t xml:space="preserve">The activities of the parties overlap only in the market for rehabilitation and follow-up care  </w:t>
        <w:br/>
        <w:t xml:space="preserve">centers in the Provence-Alpes-Côte d’Azur region. Given the market shares of the new entity,  </w:t>
        <w:br/>
        <w:t xml:space="preserve">which are below 20% regardless of the delineation retained, any risk of harm to competition  </w:t>
        <w:br/>
        <w:t xml:space="preserve">through horizontal effects has been ruled out.  </w:t>
        <w:br/>
        <w:t xml:space="preserve">The Authority also examined the non-horizontal effects of the transaction between the markets  </w:t>
        <w:br/>
        <w:t xml:space="preserve">for the provision of diagnostics and hospital care, rehabilitation and follow-up care, and  </w:t>
        <w:br/>
        <w:t xml:space="preserve">accommodation for the elderly.  </w:t>
        <w:br/>
        <w:t xml:space="preserve">The risks of non-horizontal effects between the markets for accommodation for the elderly and,  </w:t>
        <w:br/>
        <w:t xml:space="preserve">on one hand, the provision of diagnostics and hospital care, and, on the other hand,  </w:t>
        <w:br/>
        <w:t xml:space="preserve">rehabilitation and follow-up care have been ruled out, particularly in light of the low market  </w:t>
        <w:br/>
        <w:t xml:space="preserve">shares of the acquirer in the market for accommodation for the elderly and the high occupancy  </w:t>
        <w:br/>
        <w:t xml:space="preserve">rates of the acquirer's accommodation facilities for the elderly.  </w:t>
        <w:br/>
        <w:t xml:space="preserve">The risks of non-horizontal effects between the target clinics and the rehabilitation and follow-up  </w:t>
        <w:br/>
        <w:t xml:space="preserve">care centers have also been ruled out, particularly given the low reception capacities of the  </w:t>
        <w:br/>
        <w:t xml:space="preserve">parties' establishments, which do not allow for the establishment of a priority addressing strategy  </w:t>
        <w:br/>
        <w:t xml:space="preserve">aimed at displacing competing centers.  </w:t>
        <w:br/>
        <w:t>1 This summary is strictly informative. Only the reasons for the decision numbered below are authoritative.</w:t>
      </w:r>
    </w:p>
    <w:p>
      <w:r>
        <w:t xml:space="preserve">SUMMARY  </w:t>
        <w:br/>
        <w:t xml:space="preserve">I. THE COMPANIES CONCERNED AND THE TRANSACTION .............. 4  </w:t>
        <w:br/>
        <w:t xml:space="preserve">A. THE COMPANIES CONCERNED ..........................................................................4  </w:t>
        <w:br/>
        <w:t xml:space="preserve">B. THE TRANSACTION .......................................................................................................4  </w:t>
        <w:br/>
        <w:t xml:space="preserve">II. DELINEATION OF RELEVANT MARKETS ........................... 5  </w:t>
        <w:br/>
        <w:t xml:space="preserve">A. MARKETS FOR THE PROVISION OF DIAGNOSTICS AND HOSPITAL CARE .............................................................................................................5  </w:t>
        <w:br/>
        <w:t xml:space="preserve">1. DELINEATION OF SERVICE MARKETS ............................................................5  </w:t>
        <w:br/>
        <w:t xml:space="preserve">a) Reminder of previous decision-making practice ...................................... 5  </w:t>
        <w:br/>
        <w:t xml:space="preserve">2. DELINEATION OF GEOGRAPHIC MARKETS ....................................................6  </w:t>
        <w:br/>
        <w:t xml:space="preserve">B. THE MARKET FOR REHABILITATION AND FOLLOW-UP CARE (SSR) ................7  </w:t>
        <w:br/>
        <w:t xml:space="preserve">1. DELINEATION OF THE SERVICE MARKET ...............................................................7  </w:t>
        <w:br/>
        <w:t xml:space="preserve">2. DELINEATION OF THE GEOGRAPHIC MARKET..........................................................7  </w:t>
        <w:br/>
        <w:t xml:space="preserve">C. THE MARKET FOR ACCOMMODATION FOR THE ELDERLY .............................................................................................................................8  </w:t>
        <w:br/>
        <w:t xml:space="preserve">1. DELINEATION OF THE SERVICE MARKET ...............................................................8  </w:t>
        <w:br/>
        <w:t xml:space="preserve">2. DELINEATION OF THE GEOGRAPHIC MARKET..........................................................8  </w:t>
        <w:br/>
        <w:t xml:space="preserve">III. COMPETITIVE ANALYSIS ...................................................... 9  </w:t>
        <w:br/>
        <w:t xml:space="preserve">A. ANALYSIS OF THE HORIZONTAL EFFECTS OF THE TRANSACTION ON THE SSR MARKETS .....................................................................................................9  </w:t>
        <w:br/>
        <w:t xml:space="preserve">B. ANALYSIS OF VERTICAL EFFECTS ....................................................................10  </w:t>
        <w:br/>
        <w:t xml:space="preserve">1. ANALYSIS OF VERTICAL EFFECTS BETWEEN THE MARKET FOR  </w:t>
        <w:br/>
        <w:t xml:space="preserve">ACCOMMODATION SERVICES FOR THE ELDERLY AND, ON ONE HAND, THE  </w:t>
        <w:br/>
        <w:t xml:space="preserve">MARKETS FOR THE PROVISION OF CARE AND HOSPITAL DIAGNOSTICS AND, ON THE OTHER HAND, THE SSR MARKET .....................................................................................10  </w:t>
        <w:br/>
        <w:t xml:space="preserve">2. ANALYSIS OF VERTICAL EFFECTS BETWEEN THE MARKETS FOR THE  </w:t>
        <w:br/>
        <w:t xml:space="preserve">PROVISION OF DIAGNOSTICS AND HOSPITAL CARE AND THE SSR MARKETS ................11  </w:t>
        <w:br/>
        <w:t xml:space="preserve">a) At the regional and departmental levels ................................................ 11  </w:t>
        <w:br/>
        <w:t xml:space="preserve">b) At the local level according to isochrone zones of 60 minutes around the  </w:t>
        <w:br/>
        <w:t xml:space="preserve">parties' establishments ....................................................................... 12  </w:t>
        <w:br/>
        <w:t xml:space="preserve">c) At the local level according to isochrone zones of 30 minutes around the  </w:t>
        <w:br/>
        <w:t xml:space="preserve">parties' establishments ....................................................................... 12  </w:t>
        <w:br/>
        <w:t xml:space="preserve">Without distinction of SSR centers based on care specialties ..........12  </w:t>
        <w:br/>
        <w:t xml:space="preserve">According to a finer segmentation of the SSR market based on care specialties ......................................................................................................................13  </w:t>
        <w:br/>
        <w:t>DECISION ..................................................................................................... 15</w:t>
      </w:r>
    </w:p>
    <w:p>
      <w:r>
        <w:rPr>
          <w:b/>
        </w:rPr>
        <w:t>[Pages 4–6]</w:t>
      </w:r>
    </w:p>
    <w:p>
      <w:r>
        <w:t xml:space="preserve">I. The Companies Concerned and the Transaction  </w:t>
        <w:br/>
        <w:t xml:space="preserve">A. THE COMPANIES CONCERNED  </w:t>
        <w:br/>
        <w:t xml:space="preserve">1. The company Sagesse Retraite Santé (hereinafter "SRS") is a subsidiary of the Société pour l’aménagement la gestion et l’exploitation de solidarités sociales entreprises (hereinafter "Sagesse"), the holding company of Mr. Yves Journel.  </w:t>
        <w:br/>
        <w:t xml:space="preserve">2. The Sagesse group is active in the fields of health and medico-social services. It manages retirement homes, thermal cure establishments, and follow-up and rehabilitation care centers (hereinafter, "SSR").  </w:t>
        <w:br/>
        <w:t xml:space="preserve">3. The target assets consist of seven clinics currently controlled by the Almaviva Santé group (hereinafter "Almaviva"). Five of them are located in the Provence-Alpes-Côte d’Azur region (hereinafter, "PACA"): the Estagnol clinic in Antibes (06), the Cannes Oxford clinic in Cannes (06), the Palais clinic in Grasse (06), the Jean Giono clinic in Manosque (04), and the Parc Impérial clinic in Nice (06). The other two clinics, Jardins de Brunoy and CRS la Boissière, are located in Essonne (91) and Eure-et-Loir (28), respectively.  </w:t>
        <w:br/>
        <w:t xml:space="preserve">B. THE TRANSACTION  </w:t>
        <w:br/>
        <w:t xml:space="preserve">4. The transaction consists of the exclusive acquisition of control by SRS over seven clinics currently controlled by Almaviva. Indeed, at the conclusion of the transaction, SRS will hold 80% of the capital of a newly created company, with the remainder of the capital held by Almaviva. This newly created company will itself hold the entirety of the capital of the companies holding the target assets. SRS will exercise exclusive control over this newly created company and thus over the target assets, as it will have the capacity to unilaterally adopt strategic decisions such as the adoption and modification of the annual budget and the appointment and dismissal of the executives of this company.  </w:t>
        <w:br/>
        <w:t xml:space="preserve">5. As it results in the exclusive control of the target assets by SRS, the notified transaction constitutes a concentration operation within the meaning of Article L. 430-1 of the Commercial Code.  </w:t>
        <w:br/>
        <w:t>6. The companies concerned together achieve a total worldwide turnover of more than 150 million euros (Sagesse: [≥ 150 million] euros for the fiscal year ending December 31, 2020; the target assets: [≤ 150 million] euros for the fiscal year ending December 31, 2021). Each of these companies generates, in France, a turnover exceeding 50 million euros (Sagesse: [≥ 50 million] euros for the fiscal year ending December 31, 2020; the target clinics: [≥ 50 million] euros for the fiscal year ending December 31, 2021). Given these turnover figures, the transaction does not have a European dimension. However, the control thresholds mentioned in I of Article L. 430-2 of the Commercial Code are exceeded. The present transaction is therefore subject to the provisions of Articles L. 430-3 and following of the Commercial Code, relating to economic concentration.</w:t>
      </w:r>
    </w:p>
    <w:p>
      <w:r>
        <w:t xml:space="preserve">II. Delineation of Relevant Markets  </w:t>
        <w:br/>
        <w:t xml:space="preserve">7. The parties are simultaneously present in the SSR market. The target is also present in the market for the provision of diagnostics and hospital care, which has vertical links with the aforementioned market. Finally, the acquirer is active in the market for accommodation for the elderly, which has vertical links with the two aforementioned markets.  </w:t>
        <w:br/>
        <w:t xml:space="preserve">A. MARKETS FOR THE PROVISION OF DIAGNOSTICS AND HOSPITAL CARE  </w:t>
        <w:br/>
        <w:t xml:space="preserve">1. DELINEATION OF SERVICE MARKETS  </w:t>
        <w:br/>
        <w:t xml:space="preserve">a) Reminder of Previous Decision-Making Practice  </w:t>
        <w:br/>
        <w:t xml:space="preserve">8. The provision of diagnostics and hospital care is not distinguished in France based on whether it comes from private or public establishments. Indeed, the generalization to all public and private establishments of the financing method constituted by activity-based pricing (known as "T2A"), on one hand, and patients' recourse to complementary insurance, on the other hand, tends to increase patients' freedom of choice regarding the establishment in which they wish to be treated. Furthermore, whether public or private, hospital establishments are, in principle, intended to accommodate all patients, without economic or social consideration. Finally, all hospital establishments are subject to a common legal framework that defines the conditions for the exercise of their activity. This is regulated at the regional level by the regional health agencies (hereinafter, "ARS"), with which healthcare establishments may enter into contracts for objectives and means, and at the national level, by the Haute Autorité de santé (hereinafter, "HAS") which notably implements a certification system for healthcare establishments.  </w:t>
        <w:br/>
        <w:t xml:space="preserve">9. The Authority considered it necessary to segment the market based on the authorizations granted by the ARS and listed in Article R. 6122-25 of the Public Health Code, and to supplement the examination with a structured analysis around the planning groups (hereinafter, "GP") defined by the Technical Agency for Information on Hospitalization (hereinafter, "ATIH"), in order to better account for the specific needs inherent to certain segments of the market for diagnostic and hospital care services, particularly regarding equipment and the qualification of healthcare professionals.  </w:t>
        <w:br/>
        <w:t xml:space="preserve">10. Given the significant number of GPs and the proximity existing between some, the Authority considered it relevant to proceed with certain groupings. Thus, the relevant categories are as follows: (i) digestive system, (ii) locomotor system, (iii) rheumatology, (iv) urinary system, (v) cardiovascular, (vi) aesthetic and comfort surgery, (vii) gynecology, (viii) abortion, (ix) hematology, (x) neurosurgery, (xi) neurology, (xii) obstetrics, (xiii) ophthalmology, (xiv) newborns and perinatal period, (xv) psychiatry, (xvi) hyperbaric oxygen therapy, in sessions, (xvii) chemotherapy, (xviii) thoracic and vascular surgery, (xix) cardiovascular surgery, (xx) pulmonology, (xxi) endocrinology, (xxii) inter-specialty surgery, (xxiii) inter-specialty medicine, (xxiv) rare specialties, (xxv) organ transplantation (excluding bone marrow and cornea transplants), (xxvi) ENT, and (xxvii) stomatology.  </w:t>
        <w:br/>
        <w:t xml:space="preserve">11. The decision-making practice has also considered the existence of substitutability justifying the grouping within the same category of categories (i) rheumatology and locomotor system and (ii) ENT and stomatology. In this case, the question may be left open, as the results of the competitive analysis remain unchanged, regardless of the hypothesis adopted.  </w:t>
        <w:br/>
        <w:t xml:space="preserve">12. There is no need to call into question the decision-making practice presented above in this case.  </w:t>
        <w:br/>
        <w:t xml:space="preserve">2. DELINEATION OF GEOGRAPHIC MARKETS  </w:t>
        <w:br/>
        <w:t>13. The European Commission (hereinafter "the Commission") considers that the markets for the provision of diagnostics and hospital care may be of a local dimension, corresponding to areas accessible within thirty minutes of travel by car.</w:t>
      </w:r>
    </w:p>
    <w:p>
      <w:r>
        <w:rPr>
          <w:b/>
        </w:rPr>
        <w:t>[Pages 7–9]</w:t>
      </w:r>
    </w:p>
    <w:p>
      <w:r>
        <w:t>14. The Competition Authority, taking into account the regulatory instruments used by the ARS, considered that the markets for the provision of diagnostics and hospital care may be of a local dimension, corresponding to areas accessible within thirty to sixty minutes by car, departmental or regional. This perimeter is notably dependent on the specialty concerned.</w:t>
      </w:r>
    </w:p>
    <w:p>
      <w:r>
        <w:t>15. There is no reason to challenge this decision-making practice in this case. The analysis will therefore be conducted at the regional, departmental, and local levels, according to areas accessible within thirty and sixty minutes by car.</w:t>
      </w:r>
    </w:p>
    <w:p>
      <w:r>
        <w:t>B. THE MARKET FOR FOLLOW-UP AND REHABILITATION CARE (SSR)</w:t>
      </w:r>
    </w:p>
    <w:p>
      <w:r>
        <w:t>1. DELINEATION OF THE SERVICE MARKET</w:t>
      </w:r>
    </w:p>
    <w:p>
      <w:r>
        <w:t>16. The SSR market corresponds to a market for temporary accommodation of dependent persons, particularly after surgical intervention. SSR centers offer a wide range of care, such as post-operative functional rehabilitation, convalescence, and treatment of long-term or chronic conditions. The Authority has considered a finer segmentation of SSR centers based on care specialties.</w:t>
      </w:r>
    </w:p>
    <w:p>
      <w:r>
        <w:t>17. However, the question of the exact delineation of this market may be left open, as the conclusions of the competitive analysis remain unchanged, regardless of the hypothesis considered.</w:t>
      </w:r>
    </w:p>
    <w:p>
      <w:r>
        <w:t>2. DELINEATION OF THE GEOGRAPHIC MARKET</w:t>
      </w:r>
    </w:p>
    <w:p>
      <w:r>
        <w:t>18. The decision-making practice, while leaving the question open, has considered an analysis of the SSR market at the regional level, with SSR centers being under the supervision of the ARS, which plan their accommodation capacities. It estimates that this market may also be of a departmental or local dimension, corresponding to areas accessible within thirty or sixty minutes by car.</w:t>
      </w:r>
    </w:p>
    <w:p>
      <w:r>
        <w:t>19. The question of the exact delineation of the SSR market may be left open, as the conclusions of the competitive analysis remain unchanged, regardless of the delineations retained. The analysis will thus be conducted at the regional, departmental, and local levels according to areas accessible within 30 and 60 minutes by car.</w:t>
      </w:r>
    </w:p>
    <w:p>
      <w:r>
        <w:t>C. THE MARKET FOR ACCOMMODATION FOR ELDERLY PERSONS</w:t>
      </w:r>
    </w:p>
    <w:p>
      <w:r>
        <w:t>1. DELINEATION OF THE SERVICE MARKET</w:t>
      </w:r>
    </w:p>
    <w:p>
      <w:r>
        <w:t>20. The decision-making practice considers that the market for accommodation for elderly persons includes (i) establishments for dependent elderly persons (hereinafter, "EHPAD"), (ii) housing-foyers or service residences which are groups of autonomous permanent housing, in rooms or apartments, that offer optional collective facilities and services, with elderly persons being owners or tenants of their housing, and (iii) long-term care units (hereinafter, "USLD") which are medicalized structures intended for the permanent care of very dependent persons.</w:t>
      </w:r>
    </w:p>
    <w:p>
      <w:r>
        <w:t>21. There is no reason to challenge the decision-making practice in this case.</w:t>
      </w:r>
    </w:p>
    <w:p>
      <w:r>
        <w:t>2. DELINEATION OF THE GEOGRAPHIC MARKET</w:t>
      </w:r>
    </w:p>
    <w:p>
      <w:r>
        <w:t>22. Regarding the geographic delineation of the market for accommodation for elderly persons, the decision-making practice has retained for the entire territory outside the Paris region, the existence of departmental dimension markets, the criterion for choosing the establishment being its proximity to the home of the elderly person or the family reference. For the Paris region, the consideration of the entire region has been envisaged.</w:t>
      </w:r>
    </w:p>
    <w:p>
      <w:r>
        <w:t>23. The question of the exact definition of the relevant geographic market may, however, be left open insofar as, regardless of the delineation retained, the conclusions of the competitive analysis remain unchanged.</w:t>
      </w:r>
    </w:p>
    <w:p>
      <w:r>
        <w:t>24. In this case, the analysis will be conducted at the departmental level, except for the Île-de-France region where the analysis will be conducted at the regional level.</w:t>
      </w:r>
    </w:p>
    <w:p>
      <w:r>
        <w:t>III. Competitive Analysis</w:t>
      </w:r>
    </w:p>
    <w:p>
      <w:r>
        <w:t>25. The activities of the parties overlap only in the SSR market. Given the activities of the parties, it is also necessary to assess the vertical effects of the transaction between the acquirer's activities in the market for accommodation for the elderly and, on one hand, the target's activity in the markets for the provision of care and hospital diagnostics and, on the other hand, the SSR activities of the parties, as well as between the target's activities in the markets for the provision of care and hospital diagnostics and the SSR activities of the parties.</w:t>
      </w:r>
    </w:p>
    <w:p>
      <w:r>
        <w:t>26. In previous decisions related to the markets for the provision of diagnostics and hospital care, as well as the SSR markets, the positions of the operators have been determined based on the number of stays made within the healthcare establishments of the area considered.</w:t>
      </w:r>
    </w:p>
    <w:p>
      <w:r>
        <w:t>27. In accordance with the decision-making practice detailed above, concerning the markets for the provision of diagnostics and hospital care, an analysis is carried out by segmenting according to the care authorizations issued by the ARS detailed in Article R. 6122-25 of the Public Health Code, and an analysis is carried out by segmenting according to the GP groupings determined by the ATIH.</w:t>
      </w:r>
    </w:p>
    <w:p>
      <w:r>
        <w:t>A. ANALYSIS OF THE HORIZONTAL EFFECTS OF THE TRANSACTION ON THE SSR MARKETS</w:t>
      </w:r>
    </w:p>
    <w:p>
      <w:r>
        <w:t>28. The activities of the parties in the SSR market overlap in PACA and more specifically in the Alpes-Maritimes department.</w:t>
      </w:r>
    </w:p>
    <w:p>
      <w:r>
        <w:t>29. The table below presents the position of the parties in the SSR market in terms of the number of stays.</w:t>
      </w:r>
    </w:p>
    <w:p>
      <w:r>
        <w:t>Market Shares</w:t>
        <w:br/>
        <w:t>Target's Market Share Acquirer's Market Share Market Share of the New Entity</w:t>
        <w:br/>
        <w:t>Geographic Delineation</w:t>
        <w:br/>
        <w:t>Region PACA [0-5] % [0-5] % [0-5] %</w:t>
        <w:br/>
        <w:t>Alpes-Maritimes Department [0-5] % [5-10] % [10-20] %</w:t>
        <w:br/>
        <w:t>60-minute driving area around the target clinic [0-5] % [5-10] % [10-20] %</w:t>
        <w:br/>
        <w:t>30-minute driving area around the target clinic [5-10] % [10-20] % [10-20] %</w:t>
      </w:r>
    </w:p>
    <w:p>
      <w:r>
        <w:t>30. The market share of the new entity is always below 20%, regardless of the geographic delineation retained. Therefore, the transaction is not likely to harm competition through horizontal effects in the SSR market.</w:t>
      </w:r>
    </w:p>
    <w:p>
      <w:r>
        <w:rPr>
          <w:b/>
        </w:rPr>
        <w:t>[Pages 10–12]</w:t>
      </w:r>
    </w:p>
    <w:p>
      <w:r>
        <w:t>B. ANALYSIS OF VERTICAL EFFECTS</w:t>
      </w:r>
    </w:p>
    <w:p>
      <w:r>
        <w:t>31. A vertical concentration can restrict competition by making access to the markets in which the new entity will be active more difficult,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holds that a risk of vertical effect can generally be ruled out as long as the market share of the company resulting from the transaction in the relevant markets does not exceed 30%.</w:t>
      </w:r>
    </w:p>
    <w:p>
      <w:r>
        <w:t>32. In this case, the parties are active in three markets, each linked to one another by vertical effects. The analysis of vertical effects between the market for accommodation services for the elderly and, on one hand, the markets for the provision of care and hospital diagnostics and, on the other hand, the SSR market is presented in section III.B.1. The analysis of vertical effects between the markets for the provision of care and hospital diagnostics and the SSR market is presented in section III.B.2.</w:t>
      </w:r>
    </w:p>
    <w:p>
      <w:r>
        <w:t>1. ANALYSIS OF VERTICAL EFFECTS BETWEEN THE MARKET FOR ACCOMMODATION SERVICES FOR THE ELDERLY AND, ON ONE HAND, THE MARKETS FOR THE PROVISION OF CARE AND HOSPITAL DIAGNOSTICS AND, ON THE OTHER HAND, THE SSR MARKET</w:t>
      </w:r>
    </w:p>
    <w:p>
      <w:r>
        <w:t>33. There is a vertical link between the provision of diagnostics and hospital care and accommodation services for the elderly. Indeed, residents of these accommodation services can be referred to clinics active in the markets for the provision of diagnostics and hospital care, and conversely, clinics can direct their elderly patients to accommodation establishments for the elderly. For the same reasons, there is a vertical link between the SSR provision and the provision of accommodation services for the elderly.</w:t>
      </w:r>
    </w:p>
    <w:p>
      <w:r>
        <w:t>34. The Sagesse group controls the company Sedna France, which is active in the long-term accommodation market for the elderly, particularly in the PACA region, in the departments of Alpes-de-Haute-Provence, Alpes-Maritimes, and Vaucluse, as well as in Île-de-France, in the departments of Seine-et-Marne (77), Essonne (91), Val-de-Marne (94), and Val-d'Oise (95). In these two regions, the target has SSR centers: one center in Essonne, one center in Alpes-Maritimes, and one center in Alpes-de-Haute-Provence. The target also owns clinics active in the market for the provision of diagnostics and hospital care in PACA, specifically in the Alpes-Maritimes department.</w:t>
      </w:r>
    </w:p>
    <w:p>
      <w:r>
        <w:t>35. Any risk of lock-in effect through exclusive referral of residents from the elderly accommodation establishments of the acquirer to the target clinics or to the SSR centers of the new entity can be excluded. Indeed, the market share of the new entity will not exceed [0-5]% in the long-term accommodation market for the elderly, regardless of the area considered.</w:t>
      </w:r>
    </w:p>
    <w:p>
      <w:r>
        <w:t>36. Any risk of lock-in effect through preferential referral of patients from the target clinics or SSR centers of the new entity to the elderly accommodation establishments of the acquirer can also be excluded. Indeed, in the Alpes-de-Haute-Provence department, the only department in the PACA region where the acquirer and the target are simultaneously present, Sedna France operates a nursing home (EHPAD) with an occupancy rate of [90-100]% as of January 1, 2022. Similarly, the EHPAD operated by Sedna in the Île-de-France region has an occupancy rate of [90-100]%. Consequently, following the transaction, the new entity will not be able to establish a referral mechanism capable of driving competitors out of the long-term accommodation market for dependent elderly persons.</w:t>
      </w:r>
    </w:p>
    <w:p>
      <w:r>
        <w:t>37. Therefore, the transaction is not likely to harm competition through vertical effects between the market for accommodation services for the elderly and, on one hand, the markets for the provision of care and hospital diagnostics and, on the other hand, the SSR market.</w:t>
      </w:r>
    </w:p>
    <w:p>
      <w:r>
        <w:t>2. ANALYSIS OF VERTICAL EFFECTS BETWEEN THE MARKETS FOR THE PROVISION OF DIAGNOSTICS AND HOSPITAL CARE AND THE SSR MARKETS</w:t>
      </w:r>
    </w:p>
    <w:p>
      <w:r>
        <w:t>38. There is a vertical link between the provision of diagnostics and hospital care and the provision of SSR. In this case, the position of the new entity in the market for the provision of diagnostics and hospital care could allow it to strengthen its position in the downstream market of SSR centers by directing patients from the new entity to its own SSR centers. Conversely, a significant position in the SSR market could allow the new entity to strengthen itself in the market for the provision of diagnostics and hospital care.</w:t>
      </w:r>
    </w:p>
    <w:p>
      <w:r>
        <w:t>39. This second hypothesis can be ruled out, as the market shares of the new entity do not exceed 30% in the SSR market, regardless of the geographical delineation retained. The detailed analysis that follows will thus only focus on the risk of referral of patients to the SSR centers.</w:t>
      </w:r>
    </w:p>
    <w:p>
      <w:r>
        <w:t>40. The notifying party indicates that "the prescription of a stay in SSR for a patient following hospitalization in a medicine, surgery, obstetrics establishment (MCO) is solely the decision and responsibility of the physician(s) who provided their care. The MCO establishment does not intervene in the practitioner's decision to prescribe a stay in SSR, nor, if applicable, in the recommendation that the practitioner may make regarding the choice of the SSR center."</w:t>
      </w:r>
    </w:p>
    <w:p>
      <w:r>
        <w:t>41. However, the staff of the establishments can provide information about SSR centers to patients. These establishments sometimes have documentary materials on SSR centers, such as welcome booklets that can be made available to patients.</w:t>
      </w:r>
    </w:p>
    <w:p>
      <w:r>
        <w:t>42. The fact that the prescription of a stay in an SSR center is, most often, the responsibility of the "referring" physician does not suffice to exclude any vertical link between the market for the provision of diagnostics and hospital care and the market for SSR centers.</w:t>
      </w:r>
    </w:p>
    <w:p>
      <w:r>
        <w:t>43. In the markets for the provision of diagnostics and hospital care as well as in the SSR market, the parties are simultaneously active in the PACA region. The target manages three clinics active in the first market located in Alpes-Maritimes in Grasse, Cannes, and Nice, and two active centers in the SSR market located in Manosque (04) and Antibes (04). The acquirer manages two SSR centers located in Cannes.</w:t>
      </w:r>
    </w:p>
    <w:p>
      <w:r>
        <w:t>a) At the regional and departmental levels</w:t>
      </w:r>
    </w:p>
    <w:p>
      <w:r>
        <w:t>44. The market share of the new entity never exceeds 30% in the market for the provision of diagnostics and hospital care at the regional level (in the PACA region) and departmental level (in Alpes-Maritimes), regardless of the market segmentation retained.</w:t>
      </w:r>
    </w:p>
    <w:p>
      <w:r>
        <w:t>45. Consequently, at the regional and departmental levels, the transaction is not likely to harm competition through vertical effects between the markets for the provision of diagnostics and hospital care and the SSR markets.</w:t>
      </w:r>
    </w:p>
    <w:p>
      <w:r>
        <w:t>b) At the local level according to isochrone zones of 60 minutes around the establishments of the parties</w:t>
      </w:r>
    </w:p>
    <w:p>
      <w:r>
        <w:t>46. Based on the market segmentation established according to the care activities listed in Article R. 6122-5 of the Public Health Code, the market share of the target clinics never exceeds 30% in a 60-minute isochrone zone by car around each of them.</w:t>
      </w:r>
    </w:p>
    <w:p>
      <w:r>
        <w:t>47. Based on the market segmentation of the provision of diagnostics and hospital care by GP groupings, the market share of the target clinics exceeds 30% only in the groupings "cosmetic and comfort surgery" and "ophthalmology" in a 60-minute isochrone zone around the Parc Impérial clinic.</w:t>
      </w:r>
    </w:p>
    <w:p>
      <w:r>
        <w:t>48. However, cosmetic surgery and ophthalmology are specialties that generally result in very short hospitalizations and rarely lead to a stay in an SSR clinic. Thus, the notifying party indicates that, regarding cosmetic and comfort surgery, no patient stayed in an SSR establishment in 2021. Regarding ophthalmology, only [0-5] patients had to stay in SSR.</w:t>
      </w:r>
    </w:p>
    <w:p>
      <w:r>
        <w:t>49. Therefore, any risk of market lock-in in the SSR market by the new entity, through its activity in the market for the provision of diagnostics and hospital care, can be ruled out at the scale of isochrone zones of 60 minutes around the establishments of the parties.</w:t>
      </w:r>
    </w:p>
    <w:p>
      <w:r>
        <w:t>c) At the local level according to isochrone zones of 30 minutes around the establishments of the parties</w:t>
      </w:r>
    </w:p>
    <w:p>
      <w:r>
        <w:t>Without distinction of SSR centers based on care specialties</w:t>
      </w:r>
    </w:p>
    <w:p>
      <w:r>
        <w:t>50. Based on the market segmentation established according to the care activities listed in Article R. 6122-5 of the Public Health Code, the market shares of the target clinics exceed 30% for the activities "surgery" ([30-40]%), "treatment of severe burns" ([30-40]%), and "neurosurgery" ([60-70]%) in a 30-minute isochrone zone around the Cannes Oxford clinic of the target located in Cannes and the Palais clinic of the target located in Grasse.</w:t>
      </w:r>
    </w:p>
    <w:p>
      <w:r>
        <w:t>51. Based on the segmentation by GP groupings, the market shares of the target clinics exceed 30% for the segments:</w:t>
        <w:br/>
        <w:t>- "ophthalmology":</w:t>
        <w:br/>
        <w:t>- "cosmetic and comfort surgery"</w:t>
      </w:r>
    </w:p>
    <w:p>
      <w:r>
        <w:rPr>
          <w:b/>
        </w:rPr>
        <w:t>[Pages 13–15]</w:t>
      </w:r>
    </w:p>
    <w:p>
      <w:r>
        <w:t>- "digestive system":</w:t>
        <w:br/>
        <w:t>- "musculoskeletal system":</w:t>
        <w:br/>
        <w:t>- "inter-specialty surgery":</w:t>
        <w:br/>
        <w:t>- "rare specialties".</w:t>
      </w:r>
    </w:p>
    <w:p>
      <w:r>
        <w:t>Surgery</w:t>
        <w:br/>
        <w:t>Aesthetic Surgery Digestive Musculoskeletal Rare</w:t>
        <w:br/>
        <w:t>Ophthalmology and Comfort System System Specialties</w:t>
        <w:br/>
        <w:t>30 minutes around the</w:t>
        <w:br/>
        <w:t>[50-60]% [70-80]% [30-40]% [30-40]% [50-60]% [30-40]%</w:t>
        <w:br/>
        <w:t>Cannes Oxford clinic</w:t>
        <w:br/>
        <w:t>30 minutes around the</w:t>
        <w:br/>
        <w:t>[60-70]% [70-80]% [40-50]% [40-50]% [50-60]% [30-40]%</w:t>
        <w:br/>
        <w:t>Palais clinic</w:t>
      </w:r>
    </w:p>
    <w:p>
      <w:r>
        <w:t>Market share of the parties at the local level based on GP grouping segmentation of the markets for the provision of care and hospital diagnostics</w:t>
      </w:r>
    </w:p>
    <w:p>
      <w:r>
        <w:t>52. The Cannes Oxford and Palais clinics transferred respectively [300-400] and [200-300] patients to SSR establishments in 2021. The market for SSR establishments within a 30-minute geographical area around Cannes, where the acquirer's SSR centers are located, represents [9,000-10,000] patients in total. Thus, the patients referred to SSR by the Cannes Oxford and Palais clinics represent respectively [0-5]% and [0-5]% of SSR stays in the local area.</w:t>
      </w:r>
    </w:p>
    <w:p>
      <w:r>
        <w:t>53. Therefore, assuming that the new entity refers all patients from the target clinics present in the market for the provision of care and hospital diagnostics to the acquirer's SSR centers, the parties would not be able to deprive their competitors of a significant share of their patient base.</w:t>
      </w:r>
    </w:p>
    <w:p>
      <w:r>
        <w:t>54. A locking strategy whereby the new entity prioritizes referring patients treated in the target MCO clinics to its SSR centers would thus have a negligible effect on the SSR market as defined.</w:t>
      </w:r>
    </w:p>
    <w:p>
      <w:r>
        <w:t>According to a finer segmentation of the SSR market by care specialties</w:t>
      </w:r>
    </w:p>
    <w:p>
      <w:r>
        <w:t>55. The acquirer owns a non-specialized SSR center, the Le Méridien clinic. It also owns the Polyclinic Institute of Cannes, which offers non-specialized SSR as well as specialized SSR for the treatment of conditions related, on one hand, to the musculoskeletal system and, on the other hand, to the digestive, metabolic, and endocrine systems. Thus, considering a possible finer segmentation of the SSR market by care specialties, a locking strategy could be implemented by the parties in the market for specialized SSR for the treatment of conditions related to the musculoskeletal system as well as in the market for specialized SSR for the treatment of conditions of the digestive, metabolic, and endocrine systems.</w:t>
      </w:r>
    </w:p>
    <w:p>
      <w:r>
        <w:t>56. Indeed, the strong position of the new entity in the "digestive system" and "musculoskeletal system" segments of the markets for the provision of diagnostics and hospital care in certain local areas could allow it to displace certain specialized SSR centers treating these conditions.</w:t>
      </w:r>
    </w:p>
    <w:p>
      <w:r>
        <w:t>57. In this case, two competing SSR centers of the new entity specialized in treating conditions of the musculoskeletal system are active within a 30-minute isochrone area around the Polyclinic Institute of Cannes and the Le Méridien clinic. Regarding SSR specialized in treating conditions related to the digestive, metabolic, and endocrine systems, only one competing center is present in this area.</w:t>
      </w:r>
    </w:p>
    <w:p>
      <w:r>
        <w:t>i. SSR centers specialized in treating conditions of the musculoskeletal system</w:t>
      </w:r>
    </w:p>
    <w:p>
      <w:r>
        <w:t>58. The parties' clinics referred a total of [100-200] patients to SSR in 2021 following a consultation related to a condition of the musculoskeletal system. The Polyclinic Institute of Cannes has a total of 40 SSR beds specialized in treating conditions of the musculoskeletal system, representing [20-30]% of the total specialized beds of SSR establishments located within a 30-minute driving isochrone around the establishment.</w:t>
      </w:r>
    </w:p>
    <w:p>
      <w:r>
        <w:t>59. In 2021, the occupancy rate of these beds was [50-60]%. Thus, only [10-20] additional patients could be accommodated by the Polyclinic Institute of Cannes.</w:t>
      </w:r>
    </w:p>
    <w:p>
      <w:r>
        <w:t>60. Given the low availability of specialized beds for treating conditions of the musculoskeletal system at the Polyclinic Institute of Cannes, any risk of locking through a mechanism of prioritizing referrals of patients who consulted for a condition related to the musculoskeletal system to a specialized SSR of the acquirer can be ruled out.</w:t>
      </w:r>
    </w:p>
    <w:p>
      <w:r>
        <w:t>ii. SSR centers specialized in treating conditions of the digestive, metabolic, and endocrine systems</w:t>
      </w:r>
    </w:p>
    <w:p>
      <w:r>
        <w:t>61. The target clinics referred a total of [40-50] patients to SSR in 2021 following a consultation related to a condition of the digestive system. The Polyclinic Institute of Cannes has a total of 46 beds specialized in treating conditions of the digestive, metabolic, and endocrine systems, with an occupancy rate in 2021 of [10-20]% ([40-50] beds available on average).</w:t>
      </w:r>
    </w:p>
    <w:p>
      <w:r>
        <w:t>62. Thus, the new entity could be able to use its position in the "digestive system" segmentation of the markets for the provision of diagnostics and hospital care to prioritize referring patients from the target clinics to the Polyclinic Institute of Cannes.</w:t>
      </w:r>
    </w:p>
    <w:p>
      <w:r>
        <w:t>63. However, in 2021, [20,000-30,000] patients consulted for a condition related to the digestive system within a 30-minute area around Cannes. The parties report a referral rate to SSR between [0-5]% and [0-5]% for these patients. Thus, between [700-800] and [1,000-2,000] patients would be referred to SSR in this area following such a consultation.</w:t>
      </w:r>
    </w:p>
    <w:p>
      <w:r>
        <w:t>64. Given the total number of patients referred to SSR for a condition related to the digestive system, a locking strategy through prioritizing referrals of patients from the target clinics to the specialized SSR centers of the parties would have a limited effect on the market.</w:t>
      </w:r>
    </w:p>
    <w:p>
      <w:r>
        <w:t>65. Thus, any risk of locking through a mechanism of prioritizing referrals of patients who consulted for a condition related to the digestive, metabolic, and endocrine systems to a specialized SSR of the acquirer can be ruled out.</w:t>
      </w:r>
    </w:p>
    <w:p>
      <w:r>
        <w:t>DECISION</w:t>
      </w:r>
    </w:p>
    <w:p>
      <w:r>
        <w:t>Sole Article: The operation notified under number 22-110 is authorized.</w:t>
      </w:r>
    </w:p>
    <w:p>
      <w:r>
        <w:t>The President,</w:t>
        <w:b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