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https://www.autoritedelaconcurrence.fr/fr/decision-de-controle-des-concentrations/relative-la-prise-de-controle-exclusif-de-sept-fonds-de-0</w:t>
      </w:r>
    </w:p>
    <w:p>
      <w:r>
        <w:t>Pages translated : 13</w:t>
      </w:r>
    </w:p>
    <w:p/>
    <w:p>
      <w:r>
        <w:rPr>
          <w:b/>
        </w:rPr>
        <w:t>[Pages 1–3]</w:t>
      </w:r>
    </w:p>
    <w:p>
      <w:r>
        <w:t>FRENCH REPUBLIC</w:t>
        <w:br/>
        <w:t>Decision No. 24-DCC-14 of January 25, 2024</w:t>
        <w:br/>
        <w:t>regarding the exclusive control of seven business assets</w:t>
        <w:br/>
        <w:t>operated by Go Sport France by the Solig Group</w:t>
        <w:br/>
        <w:t>The Competition Authority,</w:t>
        <w:br/>
        <w:t>Having regard to the notification file submitted in full to the merger control service on December 11, 2023, regarding the exclusive control of seven business assets operated by Go Sport France by the Solig Group, formalized by the judgments of the Commercial Court of Grenoble dated April 28, 2023;</w:t>
        <w:br/>
        <w:t>Having regard to Book IV of the Commercial Code relating to price freedom and competition, and in particular its Articles L. 430-1 to L. 430-7;</w:t>
        <w:br/>
        <w:t>Having regard to the supplementary elements transmitted by the notifying party during the investigation;</w:t>
        <w:br/>
        <w:t>Having regard to the other documents in the file;</w:t>
        <w:br/>
        <w:t>Adopts the following decision:</w:t>
      </w:r>
    </w:p>
    <w:p>
      <w:r>
        <w:t>I. The Companies Concerned and the Operation</w:t>
        <w:br/>
        <w:t>1. The Solig Group (hereinafter "Solig" or "the acquirer"), whose parent company is Solig, is active in the retail distribution sector of sporting goods through its various subsidiaries operating eight retail outlets under the Intersport (six outlets) and Intersport Outlet (one outlet) brands. It is also active in the retail distribution sectors of clothing and footwear (four outlets operated under the Blackstore and Gemo brands), retail distribution of DIY, gardening, and decoration items (one outlet operated under the Weldom brand and one outlet operated under the Leroy Merlin brand), retail distribution predominantly in food (one outlet operated under the Monoprix brand and one outlet operated under the Naturalia brand), and retail distribution of beverages based on coffee, chocolate, and tea (two outlets operated under the Colombus Café brand). Solig is ultimately jointly controlled by Messrs. Jacques Dufourmont (32.69% of voting rights) and François Bariaud (28.8% of voting rights) and by Ms. Françoise Descazeaud (28.79% of voting rights). The Solig Group is a member of the Intersport network.</w:t>
        <w:br/>
        <w:t>2. The target business assets (hereinafter, "the target") were, prior to the operation, retail outlets owned by Go Sport France and operated under the "Go Sport" brand. These are seven retail outlets for sporting goods located in the Paris region and the Nouvelle-Aquitaine region, in Paris (75), Le Chesnay-Rocquencourt (78), Montigny-le-Bretonneux (78), Limoges (87), Boulogne-Billancourt (92), La Défense (92), and Noisy-le-Grand (93). On the eve of the operation, Go Sport France is a simplified joint-stock company wholly owned by Groupe Go Sport, which is itself 100% owned by Hermione Health &amp; Sport, which is owned by Hermione People &amp; Brands ("HPB"), which is owned by the holding company Financière Immobilière Bordelaise ("FIB"), ultimately controlled by Mr. Michel Ohayon. The Go Sport Group is active in the retail distribution sector of sporting goods through the Go Sport, Go Sport Destock, Technicien du Sport, Bike +, and Endurance Shop brands.</w:t>
        <w:br/>
        <w:t>3. By judgments dated January 19, 2023, and February 1, 2023, the Commercial Court of Grenoble opened judicial recovery proceedings for both Groupe Go Sport and its subsidiary, Go Sport France.</w:t>
        <w:br/>
        <w:t>4. Intersport France submitted a takeover bid on March 10, 2023, and an improved takeover bid on April 13, 2023, covering 72 business assets under the Go Sport brand, including the seven business assets that constitute the target of the present operation.</w:t>
        <w:br/>
        <w:t>5. On April 14, 2023, pursuant to the second paragraph of Article L. 430-4 of the Commercial Code, the Competition Authority granted Intersport France and the member companies of Intersport France, including the Solig Group, an exemption from the suspensive effect of merger control so that they could proceed with the effective acquisition of the target business assets in the event that their bid was accepted by the commercial court.</w:t>
        <w:br/>
        <w:t>6. By two judgments dated April 28, 2023, the Commercial Court of Grenoble accepted the offer made by Intersport France and ordered the partial transfer of the assets of Groupe Go Sport and Go Sport France to it, while allowing Intersport France to be substituted by the acquiring members, including the Solig Group.</w:t>
        <w:br/>
        <w:t>7. The notified operation, formalized by the judgments of April 28, 2023, consists of the exclusive control by the Solig Group through the acquisition of the entire capital of the companies operating the seven business assets operated by Go Sport France prior to the operation.</w:t>
        <w:br/>
        <w:t>8. As it results in the exclusive control of the target by Solig, the notified operation constitutes a concentration operation within the meaning of Article L. 430-1 of the Commercial Code.</w:t>
        <w:br/>
        <w:t>9. The companies concerned together achieve a total global turnover of more than 75 million euros (acquirer: [≥ 75 million] € excluding VAT for the fiscal year ending December 31, 2021; target assets: [≤ 75 million] € excluding VAT for the fiscal year ending December 31, 2021). Each of these companies generates a turnover in France exceeding 15 million euros (acquirer: [≥ 15 million] € excluding VAT for the fiscal year ending December 31, 2022; target assets: [≥ 15 million] € excluding VAT for the fiscal year ending December 31, 2021). Given these turnover figures, the operation does not have a European dimension. However, the control thresholds mentioned in II of Article L. 430-2 of the Commercial Code are exceeded. The present operation is therefore subject to the provisions of Articles L. 430-3 and following of the Commercial Code relating to economic concentration.</w:t>
        <w:br/>
        <w:t>II. Definition of the Relevant Markets</w:t>
        <w:br/>
        <w:t>10. The acquirer and the target are primarily active in the downstream markets for the retail distribution of sporting goods. They are also, to a lesser extent, simultaneously active in the upstream markets for the supply of sporting goods.</w:t>
        <w:br/>
        <w:t>1. THE PRODUCT MARKETS</w:t>
        <w:br/>
        <w:t>a) Upstream Markets for the Supply of Sporting Goods</w:t>
        <w:br/>
        <w:t>11. Regarding the definition of the upstream supply markets, competition authorities consider that producers supplying distributors cannot easily switch to manufacturing products other than their own. They thus distinguish as many markets as there are families of products.</w:t>
        <w:br/>
        <w:t>12. Competition authorities have repeatedly identified an upstream supply market for clothing distinct from an upstream supply market for footwear. Furthermore, a specific market for the supply of sporting equipment has been identified by the European Commission in its decision-making practice.</w:t>
        <w:br/>
        <w:t>13. The market tests conducted during the investigation and the other qualitative data collected did not allow, regarding sporting goods, to reach a consensus among operators on how the upstream market could or could not be segmented.</w:t>
      </w:r>
    </w:p>
    <w:p>
      <w:r>
        <w:rPr>
          <w:b/>
        </w:rPr>
        <w:t>[Pages 4–6]</w:t>
      </w:r>
    </w:p>
    <w:p>
      <w:r>
        <w:t xml:space="preserve">14. In this case, the parties are simultaneously active in the upstream markets for supply as buyers from their suppliers of sportswear, sports shoes, sports accessories, and sports equipment. In any event, the question of the exact delineation of the upstream markets for the supply of sporting goods can be left open, as the conclusions of the competitive analysis remain unchanged regardless of the delineation adopted.  </w:t>
        <w:br/>
        <w:t xml:space="preserve">15. In this instance, the competitive analysis will be presented on the overall market for the acquisition of sporting goods, as well as on potential segments in sportswear, sports shoes, sports accessories, and sports equipment.  </w:t>
        <w:br/>
        <w:t xml:space="preserve">b) Downstream Markets for the Distribution of Sporting Goods  </w:t>
        <w:br/>
        <w:t xml:space="preserve">16. The exact delineation of the markets for the distribution of sporting goods has, until now, been left open in both national and European decision-making practice.  </w:t>
        <w:br/>
        <w:t xml:space="preserve">17. Regarding the distribution of non-food products, competition authorities traditionally distinguish as many markets as there are families of products. Indeed, within each of the markets thus defined, competition varies significantly due to the degree of specialization of a significant number of players in one or more families of products. In relation to the sector concerned by this operation, the European Commission has notably identified the following major families of products: clothing and footwear, and sporting goods and camping.  </w:t>
        <w:br/>
        <w:t xml:space="preserve">18. In some recent decisions regarding the sector, European decision-making practice has considered distinguishing sports textiles, sports shoes, and sports equipment. The Commission has also observed that most distributors of sporting goods, whether specialists or multisport, cover these three segments (clothing, shoes, and accessories). In this regard, the respondents to the market test conducted as part of this investigation have, for the most part, considered that a potential segmentation of the market by product family (clothing, shoes, accessories, equipment) is not necessarily relevant, as these types of products are often all offered for sale by all specialized large retail chains (hereinafter, "GSSS") such as the parties to this operation.  </w:t>
        <w:br/>
        <w:t xml:space="preserve">19. Furthermore, the respondents to the market tests largely argued that potential segmentations by gender (men, women, children) and between manufacturer brands (MDF) and distributor brands (MDD) were not relevant, as all these product categories are also offered for sale by all GSSS chains.  </w:t>
        <w:br/>
        <w:t xml:space="preserve">20. Conversely, a majority of them noted the relevance of a potential segmentation of the sports goods distribution market based on the distribution channel, including, notably, specialized stores (e.g., stores specializing in running, football, etc.), GSS, and non-specialized large retailers. In this case, the buyer and the target operate GSS. It is particularly highlighted that the products offered are not necessarily the same depending on the distribution channel, which, according to a competitor of the parties, is also reflected in a manufacturer's resale policy. However, the question of integrating specialized stores and non-specialized large retailers into the relevant market is not decisive for the competitive analysis, as the area and revenue related to the sale of sporting goods in these types of stores are often smaller than for GSS. As a conservative measure, the definition of the relevant market will be limited, for the purposes of this analysis, to GSS only, corresponding to the store format of the parties. The activity of other operators may be taken into account on a case-by-case basis regarding the competitive pressure exerted on the new entity.  </w:t>
        <w:br/>
        <w:t xml:space="preserve">21. This operation also raises the question of considering online sales in the definition of downstream markets. In this regard, a majority of respondents indicate that online sales sites for sporting goods (specialized sites – pure players – or merchant sites of brands that also have physical retail outlets) exert such competitive pressure on physical stores that they belong to the same market. In this sense, respondents particularly highlight that brands present on both distribution channels (online and in-store) generally offer the same products. Finally, respondents noted that consumers compare prices of sporting goods online and in-store before purchasing.  </w:t>
        <w:br/>
        <w:t xml:space="preserve">22. However, no consensus emerged on whether online sales should be integrated into an overall market for the distribution of sporting goods. It should also be noted that the parties have little or no online presence. Therefore, as a conservative measure, only sales in physical stores will be taken into account at the stage of defining the markets; the activity of other operators may be taken into account on a case-by-case basis regarding the competitive pressure exerted on the new entity.  </w:t>
        <w:br/>
        <w:t xml:space="preserve">23. It follows from the above that, given the results of the investigation conducted, the competitive analysis will be carried out, conservatively, on the market for the distribution of sporting goods limited to physical GSS stores, corresponding to the store format of the parties. The Authority considers that, within this market, the question of a potential segmentation by product family (clothing, shoes, accessories, equipment) can be left open.  </w:t>
        <w:br/>
        <w:t xml:space="preserve">24. Regarding the geographical delineation of the markets, the markets for the supply of new non-food products are generally at least nationally sized. Concerning the markets for the supply of clothing and footwear, competition authorities usually consider that the markets are of a global dimension. The notifying party believes that this approach of the competition authorities should also apply to the upstream markets for the supply of sporting goods, which would therefore have a global dimension.  </w:t>
        <w:br/>
        <w:t xml:space="preserve">25. Indeed, from the supply side, the main suppliers of sporting equipment supply retailers of sporting goods worldwide, and from the demand side, the main players in the retail distribution of sporting goods are of international dimension.  </w:t>
        <w:br/>
        <w:t xml:space="preserve">26. The market tests conducted as part of the investigation and other qualitative data collected indicate that the sector, as a whole, shares this geographical approach to the markets.  </w:t>
        <w:br/>
        <w:t xml:space="preserve">27. In this case, the competitive analysis will therefore be conducted at a global level.  </w:t>
        <w:br/>
        <w:t xml:space="preserve">b) Downstream Markets for the Distribution of Sporting Goods  </w:t>
        <w:br/>
        <w:t xml:space="preserve">28. According to the decision-making practice of competition authorities, in terms of retail distribution, competition authorities conduct a dual analysis, at the national and local levels.  </w:t>
        <w:br/>
        <w:t xml:space="preserve">29. At the local level, regarding retail distribution, the Authority generally considers that competition occurs between retail outlets located in the same catchment area.  </w:t>
        <w:br/>
        <w:t xml:space="preserve">30. Regarding the retail distribution of non-food products, two criteria are used to delineate these areas:  </w:t>
        <w:br/>
        <w:t xml:space="preserve">- on the one hand, from the consumers' perspective, there are as many markets as there are cities where retailers likely to sell these items are located, each of these markets corresponding to the commercial attraction area where these products can generally be acquired;  </w:t>
        <w:br/>
        <w:t>- on the other hand, for GSS in particular, the geographical market often corresponds to a 20-minute driving radius from a store of the parties.</w:t>
      </w:r>
    </w:p>
    <w:p>
      <w:r>
        <w:rPr>
          <w:b/>
        </w:rPr>
        <w:t>[Pages 7–9]</w:t>
      </w:r>
    </w:p>
    <w:p>
      <w:r>
        <w:t>delimitation is also retained for stores located in shopping centers adjacent to large specialized stores (GSA).</w:t>
        <w:br/>
        <w:t>31. In this case, the elements collected during the investigation did not challenge the relevance of this 20-minute driving time to define the catchment areas of the GSS. Therefore, the competitive analysis will primarily be conducted within the areas defined by a 20-minute driving radius from the target retail outlets where the activities of the parties overlap.</w:t>
        <w:br/>
        <w:t>32. The Authority also considered a complementary approach specifically regarding the target retail outlet located in Limoges (87), the only outlet located outside a dense urban area. According to respondents to the market tests, indeed, outside of large cities, consumers would be willing to travel more than 20 minutes to reach a GSS outlet. A duration of around 30 minutes was suggested by several respondents. Therefore, for Limoges, a complementary approach based on a 30-minute catchment area was provided by the notifying party.</w:t>
        <w:br/>
        <w:t>33. Finally, concerning the target retail outlet located in Paris (75), the Authority considered an alternative approach, inspired by its decision-making practice related to other sectors of retail distribution. The Authority believes that this alternative approach, which is based on areas with a radius of 1 and 3 kilometers around the target retail outlet, is justified in this case given the particularities of the Parisian territory, where two-thirds of households do not own a car, compared to less than 20% at the national level. These circumstances lead to the conclusion that, for Paris, this approach replaces the classical approach based on areas defined by a 20-minute driving radius, as the latter would not reflect the reality of the competitive conditions surrounding the retail outlets located in Paris. When questioned on this point, respondents to the market tests supported that it is indeed relevant to distinguish the geographical approach of the Parisian market, which is characterized by smaller catchment areas compared to the rest of France. In this case, and according to the alternative approach described here, the catchment area around the target retail outlet in Paris does not result in overlap.</w:t>
        <w:br/>
        <w:t>34. The competitive analysis will also be conducted at the national level.</w:t>
        <w:br/>
        <w:t>III. Competitive Analysis</w:t>
        <w:br/>
        <w:t>35. Given the activities of the parties, the operation is likely to produce horizontal effects on the upstream markets for the supply of sporting goods (A) as well as on the market for the retail distribution of sporting goods (B).</w:t>
        <w:br/>
        <w:t>A. UPSTREAM MARKETS FOR THE SUPPLY OF SPORTING GOODS</w:t>
        <w:br/>
        <w:t>36. In the upstream markets for the supply of sporting goods, the parties have estimated that the market share of the new entity will be less than 1% globally, regardless of the segmentation considered (all sporting goods, sporting goods limited to sportswear, sporting goods limited to sports shoes, sporting goods limited to sports accessories, and sporting goods limited to sports equipment).</w:t>
        <w:br/>
        <w:t>37. Consequently, the operation is not likely to harm competition in the markets for the supply of sporting goods.</w:t>
        <w:br/>
        <w:t>B. DOWNSTREAM MARKETS FOR RETAIL DISTRIBUTION</w:t>
        <w:br/>
        <w:t>38. Before the operation, Solig is present in the market for the distribution of sporting goods marketed in the GSS through six retail outlets operated under the Intersport brand and one outlet operated under the Intersport Outlet brand.</w:t>
        <w:br/>
        <w:t>39. The target consists of seven business assets under the Go Sport brand also present in this market. It is therefore necessary to analyze the horizontal effects resulting from the acquisition by Solig of these seven stores.</w:t>
        <w:br/>
        <w:t>1. ANALYSIS CRITERIA AND METHODOLOGY</w:t>
        <w:br/>
        <w:t>a) Analysis Criteria</w:t>
        <w:br/>
        <w:t>40. In order to assess whether a concentration operation is likely to harm competition in a market, the guidelines of the Competition Authority indicate that two criteria may be examined: (i) the market shares of the new entity and (ii) the degree of market concentration. These two criteria are assessed on a case-by-case basis by the Competition Authority based on the characteristics and competitive structure of the analyzed markets.</w:t>
        <w:br/>
        <w:t>41. The aforementioned guidelines specify that "the existence of large market shares is an important element in assessing a company's market power. High post-operation market shares, of around 50% or more, may suggest the existence of significant market power." The Competition Authority thus considers that a market share exceeding 50% is generally likely to confer market power and that a more in-depth examination of the competitive structure of the relevant market must be conducted, in order to determine, in particular, whether there are credible and sufficient alternatives to the new entity. The guidelines also state that "When the market share of the new entity is below 25%, it is presumed that the operation does not harm competition through unilateral effects."</w:t>
        <w:br/>
        <w:t>42. In its decision-making practice, the Authority dismisses any risk of harm to competition when the market share of the new entity is below 25%, without the need to conduct a more detailed competitive analysis unless any particular circumstances make it necessary.</w:t>
        <w:br/>
        <w:t>43. When the market share of the new entity is between 25% and 50%, the Competition Authority conducts an analysis of the competitive structure.</w:t>
        <w:br/>
        <w:t>b) Methodology</w:t>
        <w:br/>
        <w:t>44. At the national level, following a conservative approach, the competitive analysis will be restricted to a defined market, firstly, to only GSS, excluding any other distribution channel, and, secondly, to sales in physical stores, excluding online sales. The data is, at the national level, based on the turnover of the operators.</w:t>
        <w:br/>
        <w:t>45. At the local level, for each of the examined catchment areas, the parties provided estimates of market shares expressed based on the sales area of the retail outlets of the acquirer, the target, and competitors, according to the details outlined in points 29 and following of this decision. In order to correct for threshold effects that may result from excluding from its analysis retail outlets located on the margins of the defined areas, it will also be necessary to take into account the competition exerted by these retail outlets, within a limit of an additional driving time of approximately two minutes. This examination of the area borders is consistent with the Authority's practice regarding retail markets.</w:t>
        <w:br/>
        <w:t>46. Finally, in addition, an analysis will also be conducted, at both the national and local levels, adopting a "by brand" approach. Indeed, while the acquirer will exercise exclusive control over the assets of the target following the operation, it remains that some of the target stores will be operated under the Intersport brand and will, in this respect, have their commercial autonomy limited to some extent. In this regard, the Authority considers, in accordance with its decision-making practice, that it is appropriate to take into account, in a complementary approach to the traditional competitive analysis based on the acquirer's control (regardless of the GSS brand under which the acquirer operates its stores), the activities carried out by certain other stores under the Intersport or Go Sport brands controlled by third parties, both at the national and local levels. In this regard, several situations have been addressed by the Authority.</w:t>
        <w:br/>
        <w:t>47. Firstly, at the national level, the market shares of the acquirer have been integrated with (i) all retail outlets of Intersport stores controlled by third-party operating companies and (ii) the stores under the Go Sport brand controlled by third-party operating companies as long as these stores are located in the catchment areas of the target retail outlets where both the acquirer and the third-party operating company control stores under both the Intersport and Go Sport brands.</w:t>
        <w:br/>
        <w:t>48. Secondly, at the local level, in the context of the competitive analysis of the effects related to the acquisition of the target retail outlets intended to be operated under the Intersport brand, the Intersport retail outlets present in the catchment area owned by operating companies have been taken into account in the calculation of the market shares of the new entity.</w:t>
      </w:r>
    </w:p>
    <w:p>
      <w:r>
        <w:rPr>
          <w:b/>
        </w:rPr>
        <w:t>[Pages 10–12]</w:t>
      </w:r>
    </w:p>
    <w:p>
      <w:r>
        <w:t xml:space="preserve">third parties. Conversely, for the target retail outlets intended to be operated under the Go Sport brand, the market shares of the Go Sport and Intersport outlets in the catchment area held by third-party operating companies were not taken into account in the calculation of the market shares of the new entity, given that the Go Sport outlets enjoy full commercial autonomy. </w:t>
        <w:br/>
        <w:t xml:space="preserve">49. However, since, on the one hand, the acquirer controls Intersport stores in the same catchment area and, on the other hand, Intersport and Go Sport stores in this same catchment area are controlled by the same third-party operating company, the market shares of the Intersport and Go Sport stores controlled by this third party have been integrated into those of the acquirer. </w:t>
        <w:br/>
        <w:t xml:space="preserve">2. COMPETITIVE ANALYSIS AT THE NATIONAL LEVEL </w:t>
        <w:br/>
        <w:t xml:space="preserve">50. These estimates indicate that the market share of the new entity will be less than 2%, regardless of the market segmentation considered. </w:t>
        <w:br/>
        <w:t xml:space="preserve">51. Furthermore, under the "by brand" approach described in point 46 of this decision, the market share in value represented by all the Intersport stores and the relevant Go Sport stores taken into account under the "by brand" approach is approximately [30-40]%. Again, the estimates of the market share of the new entity do not vary significantly even when considering a segmentation of the overall market for sporting goods distribution by product family. </w:t>
        <w:br/>
        <w:t xml:space="preserve">52. In addition, several competing national brands operating GSS will remain after the operation, including the Decathlon brand, which alone holds more than [50-60]% of the market share at the national level, whether or not the "by brand" approach is considered. They will be able to compete with and discipline the new entity, as well as the Intersport and Go Sport outlets not controlled by the acquirer after the operation. </w:t>
        <w:br/>
        <w:t xml:space="preserve">53. Moreover, the market shares presented above must necessarily be reduced when taking online sales into account. Indeed, it should be noted that the latter represent less than 5% of the acquirer's turnover and that the target [confidential], whereas the main competitor of the new entity, Decathlon, achieves a significantly larger share of its sales online (around 15% at a minimum, according to recent public data). Additionally, respondents to the market tests conducted as part of this investigation highlighted that other operators, including online distributors (pure players) specializing in sporting goods, would be capable of disciplining the new entity. </w:t>
        <w:br/>
        <w:t xml:space="preserve">54. Furthermore, to a lesser extent, generalist online distributors and distributors specialized in other activities (clothing, shoes not specifically dedicated to sports) may also exert competitive pressure on the new entity after the operation, according to some respondents to the market tests. </w:t>
        <w:br/>
        <w:t xml:space="preserve">55. Consequently, the operation is not likely to harm competition through horizontal effects at the national level. </w:t>
        <w:br/>
        <w:t>18 Companies operating a store under the Go Sport brand are not members of the Intersport France cooperative and are only linked to it by a supply contract without stipulations regarding minimum purchase quantities, maximum price fixing, or advertising campaign obligations.</w:t>
      </w:r>
    </w:p>
    <w:p>
      <w:r>
        <w:t xml:space="preserve">3. COMPETITIVE ANALYSIS AT THE LOCAL LEVEL </w:t>
        <w:br/>
        <w:t xml:space="preserve">56. The operation allows Solig to acquire seven Go Sport stores across the national territory. In accordance with the methodology detailed previously, an overlap of activities between the parties is observed in four catchment areas. </w:t>
        <w:br/>
        <w:t xml:space="preserve">Local markets for the distribution of sporting goods in physical retail outlets in GSS </w:t>
        <w:br/>
        <w:t xml:space="preserve">Total market shares of the new entity (regardless of the catchment area considered) </w:t>
        <w:br/>
        <w:t xml:space="preserve">Catchment area of the Target Store Total market shares of the new entity + other relevant Intersport or Go Sport outlets </w:t>
        <w:br/>
        <w:t xml:space="preserve">Le Chesnay- </w:t>
        <w:br/>
        <w:t xml:space="preserve">20-minute area: [20-30]% 20-minute area: [30-40]% </w:t>
        <w:br/>
        <w:t xml:space="preserve">Rocquencourt (78) </w:t>
        <w:br/>
        <w:t xml:space="preserve">Montigny-le- </w:t>
        <w:br/>
        <w:t xml:space="preserve">20-minute area: [10-20]% 20-minute area: [30-40]% </w:t>
        <w:br/>
        <w:t xml:space="preserve">Bretonneux (78) </w:t>
        <w:br/>
        <w:t xml:space="preserve">Noisy-le-Grand (93) 20-minute area: [10-20]% 20-minute area: [20-30]% </w:t>
        <w:br/>
        <w:t xml:space="preserve">30-minute area: [20-30]% </w:t>
        <w:br/>
        <w:t xml:space="preserve">Limoges (87) </w:t>
        <w:br/>
        <w:t xml:space="preserve">30-minute area: [30-40]% 30-minute area: [30-40]% </w:t>
        <w:br/>
        <w:t xml:space="preserve">57. In the four catchment areas where there is an overlap of activities between the parties, the operation is not likely to harm competition since, in each of them, in the overall market for the distribution of sporting goods in GSS, the market share of the new entity will be less than 25% after the operation (all 20-minute catchment areas around the target store) and [30-40]% in Limoges (for the 30-minute catchment area around the target store). Furthermore, the estimates of the market share of the new entity do not vary significantly when considering a finer segmentation of the market by product family (sports shoes, sports clothing, sports accessories, and sports equipment). </w:t>
        <w:br/>
        <w:t xml:space="preserve">58. Moreover, under the "by brand" approach described in point 46 of this decision, the market share represented by the new entity and the other relevant Intersport or Go Sport outlets remains contained as it remains below [30-40]%, </w:t>
        <w:br/>
        <w:t xml:space="preserve">19 No overlap of activities is observed in the areas of Paris (75), Boulogne-Billancourt (92), and Puteaux (92). </w:t>
        <w:br/>
        <w:t xml:space="preserve">20 According to the modalities described in paragraphs 48 and 49 of this decision. </w:t>
        <w:br/>
        <w:t xml:space="preserve">21 See point 32 for the complementary alternative approach taken regarding Limoges, concerning a 30-minute catchment area around the target store. </w:t>
        <w:br/>
        <w:t>22 Idem.</w:t>
      </w:r>
    </w:p>
    <w:p>
      <w:r>
        <w:t xml:space="preserve">regardless of the catchment area considered. Furthermore, the estimates of the market share of the new entity do not vary significantly when considering a finer segmentation of the market by product family (sports shoes, sports clothing, sports accessories, and sports equipment). </w:t>
        <w:br/>
        <w:t xml:space="preserve">59. In the areas of Chesnay-Rocquencourt (78), Montigny-le-Bretonneux (78), and Limoges (87), two competing national brands operating GSS will remain present after the operation, including the Decathlon brand, which holds significant market shares in each of these areas. Specifically regarding the Limoges area where, according to the 30-minute approach around the target store, the market share of the new entity will reach approximately [30-40]% after the operation (even outside the "by brand" approach), the national brands Decathlon and Sport 2000 will operate three outlets, each located about fifteen minutes from the target store. They will therefore be able to compete with and discipline the new entity in this area, regardless of the approach considered (20 or 30 minutes around the target store). </w:t>
        <w:br/>
        <w:t xml:space="preserve">60. In the Noisy-le-Grand (93) area, there will only be one competing national GSS brand present. However, the Authority considers that the operation is not likely to harm competition in this area. Indeed, first, the increase in market share related to the operation in this area will be low (less than 5%), resulting in a non-significant change in the competitive structure. Secondly, within this area, Decathlon will be the largest operator, with six outlets operated, including the one closest to the target store (7 minutes away). This competing Decathlon store also has a sales area nearly twice that of the target store. Thirdly, the Authority notes the presence in Sucy-en-Brie, on the edge of the area, of a competing GSS operated by Sport 2000, which could also, to some extent, provide an alternative to the new entity in the Noisy-le-Grand area. </w:t>
        <w:br/>
        <w:t xml:space="preserve">61. Furthermore, for the same reasons as at the national level (point 53), the local market shares presented above must necessarily be reduced in a market that integrates both physical sales and online sales. </w:t>
        <w:br/>
        <w:t xml:space="preserve">62. Additionally, to a lesser extent, generalist online distributors and distributors specialized in other activities (clothing, shoes not specifically dedicated to sports) present in the area may also exert competitive pressure on the new entity after the operation. </w:t>
        <w:br/>
        <w:t xml:space="preserve">63. Consequently, the operation is not likely to harm competition through horizontal effects at the national level, regardless of the segmentation and approach taken. </w:t>
        <w:br/>
        <w:t>64. It follows from the above that all the areas mentioned do not present risks of harm to competition due to the operation.</w:t>
      </w:r>
    </w:p>
    <w:p>
      <w:r>
        <w:rPr>
          <w:b/>
        </w:rPr>
        <w:t>[Pages 13–13]</w:t>
      </w:r>
    </w:p>
    <w:p>
      <w:r>
        <w:t>DECIDES</w:t>
        <w:br/>
        <w:t>Single Article: The operation notified under number 23-288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